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37"/>
        <w:shd w:val="clear" w:color="auto" w:fill="auto"/>
        <w:spacing w:lineRule="exact" w:line="320" w:before="0" w:after="341"/>
        <w:ind w:right="134" w:hanging="0"/>
        <w:rPr>
          <w:rFonts w:ascii="Cambria" w:hAnsi="Cambria"/>
          <w:sz w:val="24"/>
          <w:szCs w:val="24"/>
        </w:rPr>
      </w:pPr>
      <w:r>
        <w:rPr>
          <w:rFonts w:ascii="Cambria" w:hAnsi="Cambria"/>
          <w:sz w:val="24"/>
          <w:szCs w:val="24"/>
        </w:rPr>
      </w:r>
    </w:p>
    <w:p>
      <w:pPr>
        <w:pStyle w:val="37"/>
        <w:shd w:val="clear" w:color="auto" w:fill="auto"/>
        <w:spacing w:lineRule="exact" w:line="320" w:before="0" w:after="341"/>
        <w:ind w:right="134" w:hanging="0"/>
        <w:rPr>
          <w:rFonts w:ascii="Cambria" w:hAnsi="Cambria"/>
          <w:sz w:val="24"/>
          <w:szCs w:val="24"/>
        </w:rPr>
      </w:pPr>
      <w:r>
        <w:rPr>
          <w:rFonts w:ascii="Cambria" w:hAnsi="Cambria"/>
          <w:sz w:val="24"/>
          <w:szCs w:val="24"/>
        </w:rPr>
      </w:r>
    </w:p>
    <w:p>
      <w:pPr>
        <w:pStyle w:val="37"/>
        <w:shd w:val="clear" w:color="auto" w:fill="auto"/>
        <w:spacing w:lineRule="exact" w:line="320" w:before="0" w:after="341"/>
        <w:ind w:right="134" w:hanging="0"/>
        <w:rPr>
          <w:rFonts w:ascii="Cambria" w:hAnsi="Cambria"/>
          <w:sz w:val="24"/>
          <w:szCs w:val="24"/>
        </w:rPr>
      </w:pPr>
      <w:r>
        <w:rPr>
          <w:rFonts w:ascii="Cambria" w:hAnsi="Cambria"/>
          <w:sz w:val="24"/>
          <w:szCs w:val="24"/>
        </w:rPr>
      </w:r>
    </w:p>
    <w:p>
      <w:pPr>
        <w:pStyle w:val="37"/>
        <w:shd w:val="clear" w:color="auto" w:fill="auto"/>
        <w:spacing w:lineRule="exact" w:line="320" w:before="0" w:after="341"/>
        <w:ind w:right="134" w:hanging="0"/>
        <w:rPr>
          <w:rFonts w:ascii="Cambria" w:hAnsi="Cambria"/>
          <w:sz w:val="24"/>
          <w:szCs w:val="24"/>
        </w:rPr>
      </w:pPr>
      <w:r>
        <w:rPr>
          <w:rFonts w:ascii="Cambria" w:hAnsi="Cambria"/>
          <w:sz w:val="24"/>
          <w:szCs w:val="24"/>
        </w:rPr>
      </w:r>
    </w:p>
    <w:p>
      <w:pPr>
        <w:pStyle w:val="37"/>
        <w:shd w:val="clear" w:color="auto" w:fill="auto"/>
        <w:spacing w:lineRule="exact" w:line="320" w:before="0" w:after="341"/>
        <w:ind w:right="134" w:hanging="0"/>
        <w:rPr>
          <w:rFonts w:ascii="Cambria" w:hAnsi="Cambria"/>
          <w:sz w:val="24"/>
          <w:szCs w:val="24"/>
        </w:rPr>
      </w:pPr>
      <w:r>
        <w:rPr>
          <w:rFonts w:ascii="Cambria" w:hAnsi="Cambria"/>
          <w:sz w:val="24"/>
          <w:szCs w:val="24"/>
        </w:rPr>
      </w:r>
    </w:p>
    <w:p>
      <w:pPr>
        <w:pStyle w:val="37"/>
        <w:shd w:val="clear" w:color="auto" w:fill="auto"/>
        <w:spacing w:lineRule="exact" w:line="320" w:before="0" w:after="341"/>
        <w:ind w:right="134" w:hanging="0"/>
        <w:rPr>
          <w:rFonts w:ascii="Cambria" w:hAnsi="Cambria"/>
          <w:sz w:val="24"/>
          <w:szCs w:val="24"/>
        </w:rPr>
      </w:pPr>
      <w:r>
        <w:rPr>
          <w:rFonts w:ascii="Cambria" w:hAnsi="Cambria"/>
          <w:sz w:val="24"/>
          <w:szCs w:val="24"/>
        </w:rPr>
      </w:r>
    </w:p>
    <w:p>
      <w:pPr>
        <w:pStyle w:val="37"/>
        <w:shd w:val="clear" w:color="auto" w:fill="auto"/>
        <w:spacing w:lineRule="exact" w:line="320" w:before="0" w:after="341"/>
        <w:ind w:right="134" w:hanging="0"/>
        <w:rPr>
          <w:rFonts w:ascii="Cambria" w:hAnsi="Cambria"/>
          <w:sz w:val="24"/>
          <w:szCs w:val="24"/>
        </w:rPr>
      </w:pPr>
      <w:r>
        <w:rPr>
          <w:rFonts w:ascii="Cambria" w:hAnsi="Cambria"/>
          <w:sz w:val="24"/>
          <w:szCs w:val="24"/>
        </w:rPr>
      </w:r>
    </w:p>
    <w:p>
      <w:pPr>
        <w:pStyle w:val="37"/>
        <w:shd w:val="clear" w:color="auto" w:fill="auto"/>
        <w:spacing w:lineRule="auto" w:line="240" w:before="120" w:after="120"/>
        <w:ind w:right="134" w:hanging="0"/>
        <w:rPr>
          <w:rFonts w:ascii="Cambria" w:hAnsi="Cambria"/>
          <w:sz w:val="24"/>
          <w:szCs w:val="24"/>
        </w:rPr>
      </w:pPr>
      <w:r>
        <w:rPr>
          <w:rFonts w:ascii="Cambria" w:hAnsi="Cambria"/>
          <w:sz w:val="24"/>
          <w:szCs w:val="24"/>
        </w:rPr>
      </w:r>
    </w:p>
    <w:p>
      <w:pPr>
        <w:pStyle w:val="37"/>
        <w:shd w:val="clear" w:color="auto" w:fill="auto"/>
        <w:spacing w:lineRule="auto" w:line="240" w:before="120" w:after="120"/>
        <w:ind w:right="134" w:hanging="0"/>
        <w:rPr>
          <w:rFonts w:ascii="Cambria" w:hAnsi="Cambria"/>
          <w:szCs w:val="24"/>
        </w:rPr>
      </w:pPr>
      <w:r>
        <w:rPr>
          <w:rFonts w:ascii="Cambria" w:hAnsi="Cambria"/>
          <w:szCs w:val="24"/>
        </w:rPr>
        <w:t xml:space="preserve">АКЦИОНЕРНОЕ ОБЩЕСТВО </w:t>
      </w:r>
      <w:r>
        <w:rPr>
          <w:rStyle w:val="3Arial14pt"/>
          <w:rFonts w:cs="Times New Roman" w:ascii="Cambria" w:hAnsi="Cambria"/>
          <w:b/>
          <w:bCs/>
          <w:color w:val="auto"/>
          <w:sz w:val="32"/>
          <w:szCs w:val="24"/>
        </w:rPr>
        <w:t>«</w:t>
      </w:r>
      <w:r>
        <w:rPr>
          <w:rFonts w:ascii="Cambria" w:hAnsi="Cambria"/>
          <w:szCs w:val="24"/>
        </w:rPr>
        <w:t>ЗАВОД «КОНПОНЕНТ»</w:t>
      </w:r>
    </w:p>
    <w:p>
      <w:pPr>
        <w:pStyle w:val="37"/>
        <w:shd w:val="clear" w:color="auto" w:fill="auto"/>
        <w:spacing w:lineRule="auto" w:line="240" w:before="0" w:after="0"/>
        <w:ind w:right="136" w:hanging="0"/>
        <w:rPr>
          <w:rFonts w:ascii="Cambria" w:hAnsi="Cambria"/>
          <w:sz w:val="28"/>
          <w:szCs w:val="24"/>
        </w:rPr>
      </w:pPr>
      <w:r>
        <w:rPr>
          <w:rFonts w:ascii="Cambria" w:hAnsi="Cambria"/>
          <w:sz w:val="28"/>
          <w:szCs w:val="24"/>
        </w:rPr>
        <w:t>Консолидированная финансовая отчетность подготовленная в соответствии с международными стандартами финансовой отчетности</w:t>
      </w:r>
    </w:p>
    <w:p>
      <w:pPr>
        <w:pStyle w:val="37"/>
        <w:shd w:val="clear" w:color="auto" w:fill="auto"/>
        <w:spacing w:lineRule="auto" w:line="240" w:before="0" w:after="0"/>
        <w:ind w:right="136" w:hanging="0"/>
        <w:rPr>
          <w:rFonts w:ascii="Cambria" w:hAnsi="Cambria"/>
          <w:sz w:val="28"/>
          <w:szCs w:val="24"/>
        </w:rPr>
      </w:pPr>
      <w:r>
        <w:rPr>
          <w:rFonts w:ascii="Cambria" w:hAnsi="Cambria"/>
          <w:sz w:val="28"/>
          <w:szCs w:val="24"/>
        </w:rPr>
      </w:r>
    </w:p>
    <w:p>
      <w:pPr>
        <w:pStyle w:val="37"/>
        <w:shd w:val="clear" w:color="auto" w:fill="auto"/>
        <w:spacing w:lineRule="auto" w:line="240" w:before="0" w:after="0"/>
        <w:ind w:right="136" w:hanging="0"/>
        <w:rPr>
          <w:rFonts w:ascii="Cambria" w:hAnsi="Cambria"/>
          <w:sz w:val="28"/>
          <w:szCs w:val="24"/>
        </w:rPr>
      </w:pPr>
      <w:r>
        <w:rPr>
          <w:rFonts w:ascii="Cambria" w:hAnsi="Cambria"/>
          <w:sz w:val="28"/>
          <w:szCs w:val="24"/>
        </w:rPr>
        <w:br/>
        <w:t>за 2018 год</w:t>
      </w:r>
    </w:p>
    <w:p>
      <w:pPr>
        <w:sectPr>
          <w:type w:val="nextPage"/>
          <w:pgSz w:w="11906" w:h="16838"/>
          <w:pgMar w:left="1134" w:right="851" w:header="0" w:top="851" w:footer="0" w:bottom="851" w:gutter="0"/>
          <w:pgNumType w:fmt="decimal"/>
          <w:formProt w:val="false"/>
          <w:textDirection w:val="lrTb"/>
          <w:docGrid w:type="default" w:linePitch="360" w:charSpace="0"/>
        </w:sectPr>
        <w:pStyle w:val="37"/>
        <w:shd w:val="clear" w:color="auto" w:fill="auto"/>
        <w:spacing w:lineRule="auto" w:line="240" w:before="0" w:after="0"/>
        <w:ind w:right="136" w:hanging="0"/>
        <w:rPr>
          <w:rFonts w:ascii="Cambria" w:hAnsi="Cambria"/>
          <w:sz w:val="24"/>
          <w:szCs w:val="24"/>
        </w:rPr>
      </w:pPr>
      <w:r>
        <w:rPr>
          <w:rFonts w:ascii="Cambria" w:hAnsi="Cambria"/>
          <w:sz w:val="28"/>
          <w:szCs w:val="24"/>
        </w:rPr>
        <w:t>(Первое применение)</w:t>
      </w:r>
      <w:r>
        <w:rPr>
          <w:rFonts w:ascii="Cambria" w:hAnsi="Cambria"/>
          <w:sz w:val="24"/>
          <w:szCs w:val="24"/>
        </w:rPr>
        <w:br/>
      </w:r>
    </w:p>
    <w:p>
      <w:pPr>
        <w:pStyle w:val="29"/>
        <w:keepNext w:val="true"/>
        <w:keepLines/>
        <w:shd w:val="clear" w:color="auto" w:fill="auto"/>
        <w:spacing w:lineRule="auto" w:line="240" w:before="120" w:after="120"/>
        <w:ind w:right="136" w:hanging="0"/>
        <w:jc w:val="left"/>
        <w:rPr>
          <w:rFonts w:ascii="Cambria" w:hAnsi="Cambria"/>
          <w:sz w:val="24"/>
          <w:szCs w:val="20"/>
        </w:rPr>
      </w:pPr>
      <w:bookmarkStart w:id="0" w:name="_Toc511723868"/>
      <w:bookmarkStart w:id="1" w:name="_Toc484003637"/>
      <w:bookmarkStart w:id="2" w:name="bookmark0"/>
      <w:r>
        <w:rPr>
          <w:rFonts w:ascii="Cambria" w:hAnsi="Cambria"/>
          <w:sz w:val="24"/>
          <w:szCs w:val="20"/>
        </w:rPr>
        <w:t>СОДЕРЖАНИЕ</w:t>
      </w:r>
      <w:bookmarkEnd w:id="0"/>
      <w:bookmarkEnd w:id="1"/>
      <w:bookmarkEnd w:id="2"/>
    </w:p>
    <w:p>
      <w:pPr>
        <w:pStyle w:val="29"/>
        <w:keepNext w:val="true"/>
        <w:keepLines/>
        <w:shd w:val="clear" w:color="auto" w:fill="auto"/>
        <w:spacing w:lineRule="auto" w:line="240" w:before="120" w:after="120"/>
        <w:ind w:right="136" w:hanging="0"/>
        <w:jc w:val="center"/>
        <w:rPr>
          <w:rFonts w:ascii="Cambria" w:hAnsi="Cambria"/>
          <w:sz w:val="20"/>
          <w:szCs w:val="20"/>
        </w:rPr>
      </w:pPr>
      <w:r>
        <w:rPr>
          <w:rFonts w:ascii="Cambria" w:hAnsi="Cambria"/>
          <w:sz w:val="20"/>
          <w:szCs w:val="20"/>
        </w:rPr>
      </w:r>
    </w:p>
    <w:p>
      <w:pPr>
        <w:pStyle w:val="Normal"/>
        <w:tabs>
          <w:tab w:val="clear" w:pos="720"/>
          <w:tab w:val="right" w:pos="9072" w:leader="dot"/>
        </w:tabs>
        <w:spacing w:before="120" w:after="120"/>
        <w:ind w:right="136" w:hanging="0"/>
        <w:rPr>
          <w:rFonts w:ascii="Cambria" w:hAnsi="Cambria" w:eastAsia="Times New Roman" w:cs="Arial"/>
          <w:b/>
          <w:b/>
          <w:caps/>
          <w:szCs w:val="20"/>
        </w:rPr>
      </w:pPr>
      <w:r>
        <w:rPr>
          <w:rFonts w:eastAsia="Times New Roman" w:cs="Arial" w:ascii="Cambria" w:hAnsi="Cambria"/>
          <w:b/>
          <w:szCs w:val="20"/>
        </w:rPr>
        <w:t>КОНСОЛИДИРОВАННАЯ ФИНАНСОВАЯ ОТЧЕТНОСТЬ</w:t>
      </w:r>
    </w:p>
    <w:p>
      <w:pPr>
        <w:pStyle w:val="Normal"/>
        <w:tabs>
          <w:tab w:val="clear" w:pos="720"/>
          <w:tab w:val="right" w:pos="9072" w:leader="dot"/>
        </w:tabs>
        <w:spacing w:before="120" w:after="120"/>
        <w:ind w:right="134" w:hanging="0"/>
        <w:rPr/>
      </w:pPr>
      <w:r>
        <w:rPr/>
      </w:r>
    </w:p>
    <w:sdt>
      <w:sdtPr>
        <w:docPartObj>
          <w:docPartGallery w:val="Table of Contents"/>
          <w:docPartUnique w:val="true"/>
        </w:docPartObj>
        <w:id w:val="1822407330"/>
      </w:sdtPr>
      <w:sdtContent>
        <w:p>
          <w:pPr>
            <w:pStyle w:val="TOCHeading"/>
            <w:spacing w:before="80" w:after="80"/>
            <w:rPr>
              <w:rFonts w:ascii="Cambria" w:hAnsi="Cambria"/>
              <w:b w:val="false"/>
              <w:b w:val="false"/>
              <w:sz w:val="20"/>
              <w:szCs w:val="20"/>
            </w:rPr>
          </w:pPr>
          <w:r>
            <w:fldChar w:fldCharType="begin"/>
          </w:r>
          <w:r>
            <w:rPr>
              <w:webHidden/>
              <w:rStyle w:val="Style21"/>
              <w:sz w:val="20"/>
              <w:b w:val="false"/>
              <w:szCs w:val="20"/>
              <w:rFonts w:ascii="Cambria" w:hAnsi="Cambria"/>
            </w:rPr>
            <w:instrText> TOC \z \o "1-3" \u \h</w:instrText>
          </w:r>
          <w:r>
            <w:rPr>
              <w:webHidden/>
              <w:rStyle w:val="Style21"/>
              <w:sz w:val="20"/>
              <w:b w:val="false"/>
              <w:szCs w:val="20"/>
              <w:rFonts w:ascii="Cambria" w:hAnsi="Cambria"/>
            </w:rPr>
            <w:fldChar w:fldCharType="separate"/>
          </w:r>
          <w:hyperlink w:anchor="_Toc484002978">
            <w:r>
              <w:rPr>
                <w:webHidden/>
              </w:rPr>
              <w:fldChar w:fldCharType="begin"/>
            </w:r>
            <w:r>
              <w:rPr>
                <w:webHidden/>
              </w:rPr>
              <w:instrText>PAGEREF _Toc484002978 \h</w:instrText>
            </w:r>
            <w:r>
              <w:rPr>
                <w:webHidden/>
              </w:rPr>
              <w:fldChar w:fldCharType="separate"/>
            </w:r>
            <w:r>
              <w:rPr>
                <w:webHidden/>
                <w:rStyle w:val="Style21"/>
                <w:rFonts w:ascii="Cambria" w:hAnsi="Cambria"/>
                <w:b w:val="false"/>
                <w:color w:val="auto"/>
                <w:sz w:val="20"/>
                <w:szCs w:val="20"/>
              </w:rPr>
              <w:t>КОНСОЛИДИРОВАННЫЙ ОТЧЕТ О ФИНАНСОВОМ ПОЛОЖЕНИИ……………………………………………………………………3</w:t>
            </w:r>
            <w:r>
              <w:rPr>
                <w:webHidden/>
              </w:rPr>
              <w:fldChar w:fldCharType="end"/>
            </w:r>
          </w:hyperlink>
        </w:p>
        <w:p>
          <w:pPr>
            <w:pStyle w:val="114"/>
            <w:tabs>
              <w:tab w:val="clear" w:pos="720"/>
              <w:tab w:val="left" w:pos="8343" w:leader="none"/>
              <w:tab w:val="right" w:pos="9905" w:leader="dot"/>
            </w:tabs>
            <w:spacing w:before="80" w:after="80"/>
            <w:rPr>
              <w:rFonts w:ascii="Cambria" w:hAnsi="Cambria" w:cs="" w:cstheme="minorBidi"/>
              <w:b w:val="false"/>
              <w:b w:val="false"/>
              <w:bCs w:val="false"/>
              <w:caps w:val="false"/>
              <w:smallCaps w:val="false"/>
              <w:sz w:val="20"/>
              <w:szCs w:val="20"/>
              <w:lang w:bidi="ar-SA"/>
            </w:rPr>
          </w:pPr>
          <w:hyperlink w:anchor="_Toc484002979">
            <w:r>
              <w:rPr>
                <w:webHidden/>
                <w:rStyle w:val="Style21"/>
                <w:rFonts w:ascii="Cambria" w:hAnsi="Cambria"/>
                <w:b w:val="false"/>
                <w:caps w:val="false"/>
                <w:smallCaps w:val="false"/>
                <w:color w:val="auto"/>
                <w:sz w:val="20"/>
                <w:szCs w:val="20"/>
              </w:rPr>
              <w:t>КОНСОЛИДИРОВАННЫЙ ОТЧЕТ О ПРИБЫЛИ ИЛИ УБЫТКЕ И ПРОЧЕМ СОВОКУПНОМ ДОХОДЕ…………………………</w:t>
            </w:r>
            <w:r>
              <w:rPr>
                <w:rStyle w:val="Style21"/>
                <w:rFonts w:ascii="Cambria" w:hAnsi="Cambria"/>
                <w:b w:val="false"/>
                <w:caps w:val="false"/>
                <w:smallCaps w:val="false"/>
                <w:color w:val="auto"/>
                <w:sz w:val="20"/>
                <w:szCs w:val="20"/>
                <w:lang w:val="en-US"/>
              </w:rPr>
              <w:t>………………………………………………………………………………………………………………………………….</w:t>
            </w:r>
            <w:r>
              <w:rPr>
                <w:webHidden/>
              </w:rPr>
              <w:fldChar w:fldCharType="begin"/>
            </w:r>
            <w:r>
              <w:rPr>
                <w:webHidden/>
              </w:rPr>
              <w:instrText>PAGEREF _Toc484002979 \h</w:instrText>
            </w:r>
            <w:r>
              <w:rPr>
                <w:webHidden/>
              </w:rPr>
              <w:fldChar w:fldCharType="separate"/>
            </w:r>
            <w:r>
              <w:rPr>
                <w:rStyle w:val="Style21"/>
                <w:rFonts w:ascii="Cambria" w:hAnsi="Cambria"/>
                <w:b w:val="false"/>
                <w:caps w:val="false"/>
                <w:smallCaps w:val="false"/>
                <w:color w:val="auto"/>
                <w:sz w:val="20"/>
                <w:szCs w:val="20"/>
              </w:rPr>
              <w:t>4</w:t>
            </w:r>
            <w:r>
              <w:rPr>
                <w:webHidden/>
              </w:rPr>
              <w:fldChar w:fldCharType="end"/>
            </w:r>
          </w:hyperlink>
        </w:p>
        <w:p>
          <w:pPr>
            <w:pStyle w:val="114"/>
            <w:tabs>
              <w:tab w:val="clear" w:pos="720"/>
              <w:tab w:val="left" w:pos="8037" w:leader="none"/>
              <w:tab w:val="right" w:pos="9905" w:leader="dot"/>
            </w:tabs>
            <w:spacing w:before="80" w:after="80"/>
            <w:rPr>
              <w:rFonts w:ascii="Cambria" w:hAnsi="Cambria" w:cs="" w:cstheme="minorBidi"/>
              <w:b w:val="false"/>
              <w:b w:val="false"/>
              <w:bCs w:val="false"/>
              <w:caps w:val="false"/>
              <w:smallCaps w:val="false"/>
              <w:sz w:val="20"/>
              <w:szCs w:val="20"/>
              <w:lang w:bidi="ar-SA"/>
            </w:rPr>
          </w:pPr>
          <w:hyperlink w:anchor="_Toc484002980">
            <w:r>
              <w:rPr>
                <w:webHidden/>
                <w:rStyle w:val="Style21"/>
                <w:rFonts w:ascii="Cambria" w:hAnsi="Cambria"/>
                <w:b w:val="false"/>
                <w:caps w:val="false"/>
                <w:smallCaps w:val="false"/>
                <w:color w:val="auto"/>
                <w:sz w:val="20"/>
                <w:szCs w:val="20"/>
              </w:rPr>
              <w:t>КОНСОЛИДИРОВАННЫЙ ОТЧЕТ ОБ ИЗМЕНЕНИЯХ В СОБСТВЕННОМ КАПИТАЛЕ...………………………………</w:t>
            </w:r>
            <w:r>
              <w:rPr>
                <w:rStyle w:val="Style21"/>
                <w:rFonts w:ascii="Cambria" w:hAnsi="Cambria"/>
                <w:b w:val="false"/>
                <w:caps w:val="false"/>
                <w:smallCaps w:val="false"/>
                <w:color w:val="auto"/>
                <w:sz w:val="20"/>
                <w:szCs w:val="20"/>
                <w:lang w:val="en-US"/>
              </w:rPr>
              <w:t>………..</w:t>
            </w:r>
            <w:r>
              <w:rPr>
                <w:webHidden/>
              </w:rPr>
              <w:fldChar w:fldCharType="begin"/>
            </w:r>
            <w:r>
              <w:rPr>
                <w:webHidden/>
              </w:rPr>
              <w:instrText>PAGEREF _Toc484002980 \h</w:instrText>
            </w:r>
            <w:r>
              <w:rPr>
                <w:webHidden/>
              </w:rPr>
              <w:fldChar w:fldCharType="separate"/>
            </w:r>
            <w:r>
              <w:rPr>
                <w:rStyle w:val="Style21"/>
                <w:rFonts w:ascii="Cambria" w:hAnsi="Cambria"/>
                <w:b w:val="false"/>
                <w:caps w:val="false"/>
                <w:smallCaps w:val="false"/>
                <w:color w:val="auto"/>
                <w:sz w:val="20"/>
                <w:szCs w:val="20"/>
              </w:rPr>
              <w:t>5</w:t>
            </w:r>
            <w:r>
              <w:rPr>
                <w:webHidden/>
              </w:rPr>
              <w:fldChar w:fldCharType="end"/>
            </w:r>
          </w:hyperlink>
        </w:p>
        <w:p>
          <w:pPr>
            <w:pStyle w:val="114"/>
            <w:tabs>
              <w:tab w:val="clear" w:pos="720"/>
              <w:tab w:val="left" w:pos="7066" w:leader="none"/>
              <w:tab w:val="right" w:pos="9905" w:leader="dot"/>
            </w:tabs>
            <w:spacing w:before="80" w:after="80"/>
            <w:rPr>
              <w:rFonts w:ascii="Cambria" w:hAnsi="Cambria" w:cs="" w:cstheme="minorBidi"/>
              <w:b w:val="false"/>
              <w:b w:val="false"/>
              <w:bCs w:val="false"/>
              <w:caps w:val="false"/>
              <w:smallCaps w:val="false"/>
              <w:sz w:val="20"/>
              <w:szCs w:val="20"/>
              <w:lang w:bidi="ar-SA"/>
            </w:rPr>
          </w:pPr>
          <w:hyperlink w:anchor="_Toc484002981">
            <w:r>
              <w:rPr>
                <w:webHidden/>
              </w:rPr>
              <w:fldChar w:fldCharType="begin"/>
            </w:r>
            <w:r>
              <w:rPr>
                <w:webHidden/>
              </w:rPr>
              <w:instrText>PAGEREF _Toc484002981 \h</w:instrText>
            </w:r>
            <w:r>
              <w:rPr>
                <w:webHidden/>
              </w:rPr>
              <w:fldChar w:fldCharType="separate"/>
            </w:r>
            <w:r>
              <w:rPr>
                <w:webHidden/>
                <w:rStyle w:val="Style21"/>
                <w:rFonts w:ascii="Cambria" w:hAnsi="Cambria"/>
                <w:b w:val="false"/>
                <w:caps w:val="false"/>
                <w:smallCaps w:val="false"/>
                <w:color w:val="auto"/>
                <w:sz w:val="20"/>
                <w:szCs w:val="20"/>
              </w:rPr>
              <w:t>КОНСОЛИДИРОВАННЫЙ ОТЧЕТ О ДВИЖЕНИИ ДЕНЕЖНЫХ СРЕДСТВ………………………………………………………...…6</w:t>
            </w:r>
            <w:r>
              <w:rPr>
                <w:webHidden/>
              </w:rPr>
              <w:fldChar w:fldCharType="end"/>
            </w:r>
          </w:hyperlink>
        </w:p>
        <w:p>
          <w:pPr>
            <w:pStyle w:val="Normal"/>
            <w:spacing w:before="80" w:after="80"/>
            <w:ind w:right="134" w:hanging="0"/>
            <w:rPr>
              <w:rFonts w:ascii="Cambria" w:hAnsi="Cambria"/>
              <w:sz w:val="20"/>
              <w:szCs w:val="20"/>
            </w:rPr>
          </w:pPr>
          <w:r>
            <w:rPr>
              <w:rFonts w:ascii="Cambria" w:hAnsi="Cambria"/>
              <w:sz w:val="20"/>
              <w:szCs w:val="20"/>
            </w:rPr>
          </w:r>
          <w:r>
            <w:rPr>
              <w:sz w:val="20"/>
              <w:szCs w:val="20"/>
              <w:rFonts w:ascii="Cambria" w:hAnsi="Cambria"/>
            </w:rPr>
            <w:fldChar w:fldCharType="end"/>
          </w:r>
        </w:p>
      </w:sdtContent>
    </w:sdt>
    <w:p>
      <w:pPr>
        <w:pStyle w:val="Normal"/>
        <w:tabs>
          <w:tab w:val="clear" w:pos="720"/>
          <w:tab w:val="right" w:pos="9072" w:leader="dot"/>
        </w:tabs>
        <w:spacing w:before="80" w:after="80"/>
        <w:ind w:right="134" w:hanging="0"/>
        <w:rPr>
          <w:rFonts w:ascii="Cambria" w:hAnsi="Cambria" w:eastAsia="Times New Roman" w:cs="Arial"/>
          <w:caps/>
        </w:rPr>
      </w:pPr>
      <w:r>
        <w:rPr>
          <w:rFonts w:eastAsia="Times New Roman" w:cs="Arial" w:ascii="Cambria" w:hAnsi="Cambria"/>
          <w:caps/>
        </w:rPr>
      </w:r>
    </w:p>
    <w:p>
      <w:pPr>
        <w:pStyle w:val="Normal"/>
        <w:rPr>
          <w:rFonts w:ascii="Cambria" w:hAnsi="Cambria" w:eastAsia="Times New Roman" w:cs="Arial"/>
        </w:rPr>
      </w:pPr>
      <w:r>
        <w:rPr>
          <w:rFonts w:eastAsia="Times New Roman" w:cs="Arial" w:ascii="Cambria" w:hAnsi="Cambria"/>
        </w:rPr>
      </w:r>
    </w:p>
    <w:p>
      <w:pPr>
        <w:pStyle w:val="Normal"/>
        <w:rPr>
          <w:rFonts w:ascii="Cambria" w:hAnsi="Cambria" w:eastAsia="Times New Roman" w:cs="Arial"/>
        </w:rPr>
      </w:pPr>
      <w:r>
        <w:rPr>
          <w:rFonts w:eastAsia="Times New Roman" w:cs="Arial" w:ascii="Cambria" w:hAnsi="Cambria"/>
        </w:rPr>
      </w:r>
    </w:p>
    <w:p>
      <w:pPr>
        <w:sectPr>
          <w:headerReference w:type="default" r:id="rId2"/>
          <w:footerReference w:type="default" r:id="rId3"/>
          <w:type w:val="nextPage"/>
          <w:pgSz w:w="11906" w:h="16838"/>
          <w:pgMar w:left="1134" w:right="851" w:header="680" w:top="851" w:footer="680" w:bottom="851" w:gutter="0"/>
          <w:pgNumType w:fmt="decimal"/>
          <w:formProt w:val="false"/>
          <w:textDirection w:val="lrTb"/>
          <w:docGrid w:type="default" w:linePitch="360" w:charSpace="0"/>
        </w:sectPr>
        <w:pStyle w:val="Normal"/>
        <w:rPr>
          <w:rFonts w:ascii="Cambria" w:hAnsi="Cambria" w:eastAsia="Times New Roman" w:cs="Arial"/>
        </w:rPr>
      </w:pPr>
      <w:r>
        <w:rPr>
          <w:rFonts w:eastAsia="Times New Roman" w:cs="Arial" w:ascii="Cambria" w:hAnsi="Cambria"/>
        </w:rPr>
      </w:r>
    </w:p>
    <w:tbl>
      <w:tblPr>
        <w:tblW w:w="10349" w:type="dxa"/>
        <w:jc w:val="center"/>
        <w:tblInd w:w="0" w:type="dxa"/>
        <w:tblBorders/>
        <w:tblCellMar>
          <w:top w:w="0" w:type="dxa"/>
          <w:left w:w="10" w:type="dxa"/>
          <w:bottom w:w="0" w:type="dxa"/>
          <w:right w:w="10" w:type="dxa"/>
        </w:tblCellMar>
        <w:tblLook w:firstRow="1" w:noVBand="1" w:lastRow="0" w:firstColumn="1" w:lastColumn="0" w:noHBand="0" w:val="04a0"/>
      </w:tblPr>
      <w:tblGrid>
        <w:gridCol w:w="4962"/>
        <w:gridCol w:w="992"/>
        <w:gridCol w:w="192"/>
        <w:gridCol w:w="1134"/>
        <w:gridCol w:w="233"/>
        <w:gridCol w:w="1"/>
        <w:gridCol w:w="1417"/>
        <w:gridCol w:w="1"/>
        <w:gridCol w:w="1417"/>
      </w:tblGrid>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r>
          </w:p>
        </w:tc>
        <w:tc>
          <w:tcPr>
            <w:tcW w:w="992" w:type="dxa"/>
            <w:tcBorders/>
            <w:shd w:color="auto" w:fill="FFFFFF" w:val="clear"/>
            <w:vAlign w:val="center"/>
          </w:tcPr>
          <w:p>
            <w:pPr>
              <w:pStyle w:val="210"/>
              <w:shd w:val="clear" w:color="auto" w:fill="auto"/>
              <w:spacing w:lineRule="auto" w:line="240" w:before="0" w:after="0"/>
              <w:ind w:left="200" w:right="134" w:hanging="0"/>
              <w:jc w:val="center"/>
              <w:rPr>
                <w:rFonts w:ascii="Cambria" w:hAnsi="Cambria"/>
                <w:sz w:val="18"/>
                <w:szCs w:val="18"/>
              </w:rPr>
            </w:pPr>
            <w:r>
              <w:rPr>
                <w:rStyle w:val="285pt"/>
                <w:rFonts w:ascii="Cambria" w:hAnsi="Cambria"/>
                <w:color w:val="auto"/>
                <w:sz w:val="18"/>
                <w:szCs w:val="18"/>
              </w:rPr>
              <w:t>Прим</w:t>
            </w:r>
          </w:p>
        </w:tc>
        <w:tc>
          <w:tcPr>
            <w:tcW w:w="1560" w:type="dxa"/>
            <w:gridSpan w:val="4"/>
            <w:tcBorders/>
            <w:shd w:color="auto" w:fill="FFFFFF" w:val="clear"/>
            <w:vAlign w:val="center"/>
          </w:tcPr>
          <w:p>
            <w:pPr>
              <w:pStyle w:val="210"/>
              <w:shd w:val="clear" w:color="auto" w:fill="auto"/>
              <w:spacing w:lineRule="auto" w:line="240" w:before="0" w:after="0"/>
              <w:ind w:right="134" w:hanging="0"/>
              <w:jc w:val="center"/>
              <w:rPr>
                <w:rFonts w:ascii="Cambria" w:hAnsi="Cambria"/>
                <w:sz w:val="18"/>
                <w:szCs w:val="18"/>
              </w:rPr>
            </w:pPr>
            <w:r>
              <w:rPr>
                <w:rStyle w:val="285pt"/>
                <w:rFonts w:ascii="Cambria" w:hAnsi="Cambria"/>
                <w:color w:val="auto"/>
                <w:sz w:val="18"/>
                <w:szCs w:val="18"/>
              </w:rPr>
              <w:t>31.12.2018</w:t>
            </w:r>
          </w:p>
        </w:tc>
        <w:tc>
          <w:tcPr>
            <w:tcW w:w="1418" w:type="dxa"/>
            <w:gridSpan w:val="2"/>
            <w:tcBorders/>
            <w:shd w:color="auto" w:fill="FFFFFF" w:val="clear"/>
            <w:vAlign w:val="center"/>
          </w:tcPr>
          <w:p>
            <w:pPr>
              <w:pStyle w:val="210"/>
              <w:shd w:val="clear" w:color="auto" w:fill="auto"/>
              <w:spacing w:lineRule="auto" w:line="240" w:before="0" w:after="0"/>
              <w:ind w:right="134" w:hanging="0"/>
              <w:jc w:val="center"/>
              <w:rPr>
                <w:rFonts w:ascii="Cambria" w:hAnsi="Cambria"/>
                <w:sz w:val="18"/>
                <w:szCs w:val="18"/>
              </w:rPr>
            </w:pPr>
            <w:r>
              <w:rPr>
                <w:rStyle w:val="285pt"/>
                <w:rFonts w:ascii="Cambria" w:hAnsi="Cambria"/>
                <w:color w:val="auto"/>
                <w:sz w:val="18"/>
                <w:szCs w:val="18"/>
              </w:rPr>
              <w:t>31.12.2017</w:t>
            </w:r>
          </w:p>
        </w:tc>
        <w:tc>
          <w:tcPr>
            <w:tcW w:w="1417" w:type="dxa"/>
            <w:tcBorders/>
            <w:shd w:color="auto" w:fill="FFFFFF" w:val="clear"/>
            <w:vAlign w:val="center"/>
          </w:tcPr>
          <w:p>
            <w:pPr>
              <w:pStyle w:val="210"/>
              <w:shd w:val="clear" w:color="auto" w:fill="auto"/>
              <w:spacing w:lineRule="auto" w:line="240" w:before="0" w:after="0"/>
              <w:ind w:right="134" w:hanging="0"/>
              <w:jc w:val="center"/>
              <w:rPr>
                <w:rStyle w:val="285pt"/>
                <w:rFonts w:ascii="Cambria" w:hAnsi="Cambria"/>
                <w:color w:val="auto"/>
                <w:sz w:val="18"/>
                <w:szCs w:val="18"/>
              </w:rPr>
            </w:pPr>
            <w:r>
              <w:rPr>
                <w:rStyle w:val="285pt"/>
                <w:rFonts w:ascii="Cambria" w:hAnsi="Cambria"/>
                <w:color w:val="auto"/>
                <w:sz w:val="18"/>
                <w:szCs w:val="18"/>
              </w:rPr>
              <w:t>01.01.2017</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b/>
                <w:bCs/>
                <w:color w:val="auto"/>
                <w:sz w:val="18"/>
                <w:szCs w:val="18"/>
              </w:rPr>
              <w:t>АКТИВЫ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rPr>
            </w:pPr>
            <w:r>
              <w:rPr>
                <w:rFonts w:eastAsia="Arial Unicode MS" w:ascii="Cambria" w:hAnsi="Cambria"/>
                <w:color w:val="auto"/>
                <w:sz w:val="18"/>
                <w:szCs w:val="18"/>
              </w:rPr>
            </w:r>
          </w:p>
        </w:tc>
        <w:tc>
          <w:tcPr>
            <w:tcW w:w="1560" w:type="dxa"/>
            <w:gridSpan w:val="4"/>
            <w:tcBorders/>
            <w:shd w:color="auto" w:fill="FFFFFF" w:val="clear"/>
            <w:vAlign w:val="center"/>
          </w:tcPr>
          <w:p>
            <w:pPr>
              <w:pStyle w:val="Normal"/>
              <w:ind w:right="134" w:hanging="0"/>
              <w:jc w:val="right"/>
              <w:rPr>
                <w:rStyle w:val="285pt1"/>
                <w:rFonts w:ascii="Cambria" w:hAnsi="Cambria" w:eastAsia="Arial Unicode MS"/>
                <w:color w:val="auto"/>
                <w:sz w:val="18"/>
                <w:szCs w:val="18"/>
              </w:rPr>
            </w:pPr>
            <w:r>
              <w:rPr>
                <w:rFonts w:eastAsia="Arial Unicode MS" w:ascii="Cambria" w:hAnsi="Cambria"/>
                <w:color w:val="auto"/>
                <w:sz w:val="18"/>
                <w:szCs w:val="18"/>
              </w:rPr>
            </w:r>
          </w:p>
        </w:tc>
        <w:tc>
          <w:tcPr>
            <w:tcW w:w="1418" w:type="dxa"/>
            <w:gridSpan w:val="2"/>
            <w:tcBorders/>
            <w:shd w:color="auto" w:fill="FFFFFF" w:val="clear"/>
            <w:vAlign w:val="center"/>
          </w:tcPr>
          <w:p>
            <w:pPr>
              <w:pStyle w:val="Normal"/>
              <w:ind w:right="134" w:hanging="0"/>
              <w:jc w:val="right"/>
              <w:rPr>
                <w:rStyle w:val="285pt1"/>
                <w:rFonts w:ascii="Cambria" w:hAnsi="Cambria" w:eastAsia="Arial Unicode MS"/>
                <w:color w:val="auto"/>
                <w:sz w:val="18"/>
                <w:szCs w:val="18"/>
              </w:rPr>
            </w:pPr>
            <w:r>
              <w:rPr>
                <w:rFonts w:eastAsia="Arial Unicode MS" w:ascii="Cambria" w:hAnsi="Cambria"/>
                <w:color w:val="auto"/>
                <w:sz w:val="18"/>
                <w:szCs w:val="18"/>
              </w:rPr>
            </w:r>
          </w:p>
        </w:tc>
        <w:tc>
          <w:tcPr>
            <w:tcW w:w="1417" w:type="dxa"/>
            <w:tcBorders/>
            <w:shd w:color="auto" w:fill="FFFFFF" w:val="clear"/>
            <w:vAlign w:val="center"/>
          </w:tcPr>
          <w:p>
            <w:pPr>
              <w:pStyle w:val="Normal"/>
              <w:ind w:right="134" w:hanging="0"/>
              <w:jc w:val="right"/>
              <w:rPr>
                <w:rStyle w:val="285pt1"/>
                <w:rFonts w:ascii="Cambria" w:hAnsi="Cambria" w:eastAsia="Arial Unicode MS"/>
                <w:color w:val="auto"/>
                <w:sz w:val="18"/>
                <w:szCs w:val="18"/>
              </w:rPr>
            </w:pPr>
            <w:r>
              <w:rPr>
                <w:rFonts w:eastAsia="Arial Unicode MS" w:ascii="Cambria" w:hAnsi="Cambria"/>
                <w:color w:val="auto"/>
                <w:sz w:val="18"/>
                <w:szCs w:val="18"/>
              </w:rPr>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b/>
                <w:bCs/>
                <w:color w:val="auto"/>
                <w:sz w:val="18"/>
                <w:szCs w:val="18"/>
              </w:rPr>
              <w:t>Долгосрочные активы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rPr>
            </w:pPr>
            <w:r>
              <w:rPr>
                <w:rFonts w:eastAsia="Arial Unicode MS" w:ascii="Cambria" w:hAnsi="Cambria"/>
                <w:color w:val="auto"/>
                <w:sz w:val="18"/>
                <w:szCs w:val="18"/>
              </w:rPr>
            </w:r>
          </w:p>
        </w:tc>
        <w:tc>
          <w:tcPr>
            <w:tcW w:w="1560" w:type="dxa"/>
            <w:gridSpan w:val="4"/>
            <w:tcBorders/>
            <w:shd w:color="auto" w:fill="FFFFFF" w:val="clear"/>
            <w:vAlign w:val="center"/>
          </w:tcPr>
          <w:p>
            <w:pPr>
              <w:pStyle w:val="Normal"/>
              <w:ind w:right="134" w:hanging="0"/>
              <w:jc w:val="right"/>
              <w:rPr>
                <w:rStyle w:val="285pt1"/>
                <w:rFonts w:ascii="Cambria" w:hAnsi="Cambria" w:eastAsia="Arial Unicode MS"/>
                <w:color w:val="auto"/>
                <w:sz w:val="18"/>
                <w:szCs w:val="18"/>
              </w:rPr>
            </w:pPr>
            <w:r>
              <w:rPr>
                <w:rFonts w:eastAsia="Arial Unicode MS" w:ascii="Cambria" w:hAnsi="Cambria"/>
                <w:color w:val="auto"/>
                <w:sz w:val="18"/>
                <w:szCs w:val="18"/>
              </w:rPr>
            </w:r>
          </w:p>
        </w:tc>
        <w:tc>
          <w:tcPr>
            <w:tcW w:w="1418" w:type="dxa"/>
            <w:gridSpan w:val="2"/>
            <w:tcBorders/>
            <w:shd w:color="auto" w:fill="FFFFFF" w:val="clear"/>
            <w:vAlign w:val="center"/>
          </w:tcPr>
          <w:p>
            <w:pPr>
              <w:pStyle w:val="Normal"/>
              <w:ind w:right="134" w:hanging="0"/>
              <w:jc w:val="right"/>
              <w:rPr>
                <w:rStyle w:val="285pt1"/>
                <w:rFonts w:ascii="Cambria" w:hAnsi="Cambria" w:eastAsia="Arial Unicode MS"/>
                <w:color w:val="auto"/>
                <w:sz w:val="18"/>
                <w:szCs w:val="18"/>
              </w:rPr>
            </w:pPr>
            <w:r>
              <w:rPr>
                <w:rFonts w:eastAsia="Arial Unicode MS" w:ascii="Cambria" w:hAnsi="Cambria"/>
                <w:color w:val="auto"/>
                <w:sz w:val="18"/>
                <w:szCs w:val="18"/>
              </w:rPr>
            </w:r>
          </w:p>
        </w:tc>
        <w:tc>
          <w:tcPr>
            <w:tcW w:w="1417" w:type="dxa"/>
            <w:tcBorders/>
            <w:shd w:color="auto" w:fill="FFFFFF" w:val="clear"/>
            <w:vAlign w:val="center"/>
          </w:tcPr>
          <w:p>
            <w:pPr>
              <w:pStyle w:val="Normal"/>
              <w:ind w:right="134" w:hanging="0"/>
              <w:jc w:val="right"/>
              <w:rPr>
                <w:rStyle w:val="285pt1"/>
                <w:rFonts w:ascii="Cambria" w:hAnsi="Cambria" w:eastAsia="Arial Unicode MS"/>
                <w:color w:val="auto"/>
                <w:sz w:val="18"/>
                <w:szCs w:val="18"/>
              </w:rPr>
            </w:pPr>
            <w:r>
              <w:rPr>
                <w:rFonts w:eastAsia="Arial Unicode MS" w:ascii="Cambria" w:hAnsi="Cambria"/>
                <w:color w:val="auto"/>
                <w:sz w:val="18"/>
                <w:szCs w:val="18"/>
              </w:rPr>
            </w:r>
          </w:p>
        </w:tc>
      </w:tr>
      <w:tr>
        <w:trPr>
          <w:trHeight w:val="283" w:hRule="atLeast"/>
          <w:cantSplit w:val="true"/>
        </w:trPr>
        <w:tc>
          <w:tcPr>
            <w:tcW w:w="4962"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Основные средства</w:t>
            </w:r>
          </w:p>
        </w:tc>
        <w:tc>
          <w:tcPr>
            <w:tcW w:w="992" w:type="dxa"/>
            <w:tcBorders/>
            <w:shd w:color="auto" w:fill="FFFFFF" w:val="clear"/>
            <w:vAlign w:val="bottom"/>
          </w:tcPr>
          <w:p>
            <w:pPr>
              <w:pStyle w:val="210"/>
              <w:shd w:val="clear" w:color="auto" w:fill="auto"/>
              <w:spacing w:lineRule="auto" w:line="240" w:before="0" w:after="0"/>
              <w:ind w:right="134" w:hanging="0"/>
              <w:jc w:val="center"/>
              <w:rPr>
                <w:rStyle w:val="285pt1"/>
                <w:rFonts w:ascii="Cambria" w:hAnsi="Cambria"/>
                <w:color w:val="auto"/>
                <w:sz w:val="18"/>
                <w:szCs w:val="18"/>
              </w:rPr>
            </w:pPr>
            <w:r>
              <w:rPr>
                <w:rStyle w:val="285pt1"/>
                <w:rFonts w:ascii="Cambria" w:hAnsi="Cambria"/>
                <w:color w:val="auto"/>
                <w:sz w:val="18"/>
                <w:szCs w:val="18"/>
              </w:rPr>
              <w:t>5</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3 113 680</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3 405 992</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3 745 284</w:t>
            </w:r>
          </w:p>
        </w:tc>
      </w:tr>
      <w:tr>
        <w:trPr>
          <w:trHeight w:val="283" w:hRule="atLeast"/>
          <w:cantSplit w:val="true"/>
        </w:trPr>
        <w:tc>
          <w:tcPr>
            <w:tcW w:w="4962"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Инвестиционное имущество</w:t>
            </w:r>
          </w:p>
        </w:tc>
        <w:tc>
          <w:tcPr>
            <w:tcW w:w="992" w:type="dxa"/>
            <w:tcBorders/>
            <w:shd w:color="auto" w:fill="FFFFFF" w:val="clear"/>
            <w:vAlign w:val="bottom"/>
          </w:tcPr>
          <w:p>
            <w:pPr>
              <w:pStyle w:val="210"/>
              <w:shd w:val="clear" w:color="auto" w:fill="auto"/>
              <w:spacing w:lineRule="auto" w:line="240" w:before="0" w:after="0"/>
              <w:ind w:right="134" w:hanging="0"/>
              <w:jc w:val="center"/>
              <w:rPr>
                <w:rStyle w:val="285pt1"/>
                <w:rFonts w:ascii="Cambria" w:hAnsi="Cambria"/>
                <w:color w:val="auto"/>
                <w:sz w:val="18"/>
                <w:szCs w:val="18"/>
              </w:rPr>
            </w:pPr>
            <w:r>
              <w:rPr>
                <w:rStyle w:val="285pt1"/>
                <w:rFonts w:ascii="Cambria" w:hAnsi="Cambria"/>
                <w:color w:val="auto"/>
                <w:sz w:val="18"/>
                <w:szCs w:val="18"/>
              </w:rPr>
              <w:t>6</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433 998</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438 226</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442 455</w:t>
            </w:r>
          </w:p>
        </w:tc>
      </w:tr>
      <w:tr>
        <w:trPr>
          <w:trHeight w:val="283" w:hRule="atLeast"/>
          <w:cantSplit w:val="true"/>
        </w:trPr>
        <w:tc>
          <w:tcPr>
            <w:tcW w:w="4962"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Нематериальные активы</w:t>
            </w:r>
          </w:p>
        </w:tc>
        <w:tc>
          <w:tcPr>
            <w:tcW w:w="992" w:type="dxa"/>
            <w:tcBorders/>
            <w:shd w:color="auto" w:fill="FFFFFF" w:val="clear"/>
            <w:vAlign w:val="bottom"/>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1 403</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1 616</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1 167</w:t>
            </w:r>
          </w:p>
        </w:tc>
      </w:tr>
      <w:tr>
        <w:trPr>
          <w:trHeight w:val="283" w:hRule="atLeast"/>
          <w:cantSplit w:val="true"/>
        </w:trPr>
        <w:tc>
          <w:tcPr>
            <w:tcW w:w="4962"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Инвестиции в ассоциированные предприятия</w:t>
            </w:r>
          </w:p>
        </w:tc>
        <w:tc>
          <w:tcPr>
            <w:tcW w:w="992" w:type="dxa"/>
            <w:tcBorders/>
            <w:shd w:color="auto" w:fill="FFFFFF" w:val="clear"/>
            <w:vAlign w:val="bottom"/>
          </w:tcPr>
          <w:p>
            <w:pPr>
              <w:pStyle w:val="Normal"/>
              <w:ind w:right="134" w:hanging="0"/>
              <w:jc w:val="center"/>
              <w:rPr>
                <w:rStyle w:val="285pt1"/>
                <w:rFonts w:ascii="Cambria" w:hAnsi="Cambria" w:eastAsia="" w:eastAsiaTheme="minorEastAsia"/>
                <w:color w:val="auto"/>
                <w:sz w:val="18"/>
                <w:szCs w:val="18"/>
              </w:rPr>
            </w:pPr>
            <w:r>
              <w:rPr>
                <w:rStyle w:val="285pt1"/>
                <w:rFonts w:eastAsia="" w:ascii="Cambria" w:hAnsi="Cambria" w:eastAsiaTheme="minorEastAsia"/>
                <w:color w:val="auto"/>
                <w:sz w:val="18"/>
                <w:szCs w:val="18"/>
              </w:rPr>
              <w:t>7</w:t>
            </w:r>
          </w:p>
        </w:tc>
        <w:tc>
          <w:tcPr>
            <w:tcW w:w="1560" w:type="dxa"/>
            <w:gridSpan w:val="4"/>
            <w:tcBorders/>
            <w:shd w:fill="auto"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363 618</w:t>
            </w:r>
          </w:p>
        </w:tc>
        <w:tc>
          <w:tcPr>
            <w:tcW w:w="1418" w:type="dxa"/>
            <w:gridSpan w:val="2"/>
            <w:tcBorders/>
            <w:shd w:fill="auto"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362 841</w:t>
            </w:r>
          </w:p>
        </w:tc>
        <w:tc>
          <w:tcPr>
            <w:tcW w:w="1417" w:type="dxa"/>
            <w:tcBorders/>
            <w:shd w:fill="auto"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367 060</w:t>
            </w:r>
          </w:p>
        </w:tc>
      </w:tr>
      <w:tr>
        <w:trPr>
          <w:trHeight w:val="283" w:hRule="atLeast"/>
          <w:cantSplit w:val="true"/>
        </w:trPr>
        <w:tc>
          <w:tcPr>
            <w:tcW w:w="4962"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Аванс по  основным средствам</w:t>
            </w:r>
          </w:p>
        </w:tc>
        <w:tc>
          <w:tcPr>
            <w:tcW w:w="992" w:type="dxa"/>
            <w:tcBorders/>
            <w:shd w:color="auto" w:fill="FFFFFF" w:val="clear"/>
            <w:vAlign w:val="bottom"/>
          </w:tcPr>
          <w:p>
            <w:pPr>
              <w:pStyle w:val="Normal"/>
              <w:ind w:right="134" w:hanging="0"/>
              <w:jc w:val="center"/>
              <w:rPr>
                <w:rStyle w:val="285pt1"/>
                <w:rFonts w:ascii="Cambria" w:hAnsi="Cambria" w:eastAsia="" w:eastAsiaTheme="minorEastAsia"/>
                <w:color w:val="auto"/>
                <w:sz w:val="18"/>
                <w:szCs w:val="18"/>
              </w:rPr>
            </w:pPr>
            <w:r>
              <w:rPr>
                <w:rStyle w:val="285pt1"/>
                <w:rFonts w:eastAsia="" w:ascii="Cambria" w:hAnsi="Cambria" w:eastAsiaTheme="minorEastAsia"/>
                <w:color w:val="auto"/>
                <w:sz w:val="18"/>
                <w:szCs w:val="18"/>
              </w:rPr>
              <w:t>10</w:t>
            </w:r>
          </w:p>
        </w:tc>
        <w:tc>
          <w:tcPr>
            <w:tcW w:w="1560" w:type="dxa"/>
            <w:gridSpan w:val="4"/>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24 978</w:t>
            </w:r>
          </w:p>
        </w:tc>
        <w:tc>
          <w:tcPr>
            <w:tcW w:w="1418" w:type="dxa"/>
            <w:gridSpan w:val="2"/>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3 520</w:t>
            </w:r>
          </w:p>
        </w:tc>
        <w:tc>
          <w:tcPr>
            <w:tcW w:w="1417"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r>
          </w:p>
        </w:tc>
      </w:tr>
      <w:tr>
        <w:trPr>
          <w:trHeight w:val="283" w:hRule="atLeast"/>
          <w:cantSplit w:val="true"/>
        </w:trPr>
        <w:tc>
          <w:tcPr>
            <w:tcW w:w="4962" w:type="dxa"/>
            <w:tcBorders/>
            <w:shd w:color="auto" w:fill="FFFFFF" w:val="clear"/>
            <w:vAlign w:val="bottom"/>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bCs w:val="false"/>
                <w:color w:val="auto"/>
                <w:sz w:val="18"/>
                <w:szCs w:val="18"/>
              </w:rPr>
              <w:t>Итого долгосрочные активы</w:t>
            </w:r>
          </w:p>
        </w:tc>
        <w:tc>
          <w:tcPr>
            <w:tcW w:w="992" w:type="dxa"/>
            <w:tcBorders/>
            <w:shd w:color="auto" w:fill="FFFFFF" w:val="clear"/>
            <w:vAlign w:val="bottom"/>
          </w:tcPr>
          <w:p>
            <w:pPr>
              <w:pStyle w:val="210"/>
              <w:shd w:val="clear" w:color="auto" w:fill="auto"/>
              <w:spacing w:lineRule="auto" w:line="240" w:before="0" w:after="0"/>
              <w:ind w:right="134" w:hanging="0"/>
              <w:jc w:val="center"/>
              <w:rPr>
                <w:rStyle w:val="285pt1"/>
                <w:rFonts w:ascii="Cambria" w:hAnsi="Cambria"/>
                <w:color w:val="auto"/>
                <w:sz w:val="18"/>
                <w:szCs w:val="18"/>
              </w:rPr>
            </w:pPr>
            <w:r>
              <w:rPr>
                <w:rFonts w:ascii="Cambria" w:hAnsi="Cambria"/>
                <w:color w:val="auto"/>
                <w:sz w:val="18"/>
                <w:szCs w:val="18"/>
              </w:rPr>
            </w:r>
          </w:p>
        </w:tc>
        <w:tc>
          <w:tcPr>
            <w:tcW w:w="1560" w:type="dxa"/>
            <w:gridSpan w:val="4"/>
            <w:tcBorders>
              <w:top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color w:val="auto"/>
                <w:sz w:val="18"/>
                <w:szCs w:val="18"/>
              </w:rPr>
            </w:pPr>
            <w:r>
              <w:rPr>
                <w:rFonts w:cs="Arial CYR" w:ascii="Cambria" w:hAnsi="Cambria"/>
                <w:b/>
                <w:bCs/>
                <w:color w:val="000000"/>
                <w:sz w:val="18"/>
                <w:szCs w:val="18"/>
              </w:rPr>
              <w:t>3 937 677</w:t>
            </w:r>
          </w:p>
        </w:tc>
        <w:tc>
          <w:tcPr>
            <w:tcW w:w="1418" w:type="dxa"/>
            <w:gridSpan w:val="2"/>
            <w:tcBorders>
              <w:top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color w:val="auto"/>
                <w:sz w:val="18"/>
                <w:szCs w:val="18"/>
              </w:rPr>
            </w:pPr>
            <w:r>
              <w:rPr>
                <w:rFonts w:cs="Arial CYR" w:ascii="Cambria" w:hAnsi="Cambria"/>
                <w:b/>
                <w:bCs/>
                <w:color w:val="000000"/>
                <w:sz w:val="18"/>
                <w:szCs w:val="18"/>
              </w:rPr>
              <w:t>4 212 196</w:t>
            </w:r>
          </w:p>
        </w:tc>
        <w:tc>
          <w:tcPr>
            <w:tcW w:w="1417" w:type="dxa"/>
            <w:tcBorders>
              <w:top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cs="Arial CYR" w:ascii="Cambria" w:hAnsi="Cambria"/>
                <w:b/>
                <w:bCs/>
                <w:color w:val="000000"/>
                <w:sz w:val="18"/>
                <w:szCs w:val="18"/>
              </w:rPr>
              <w:t>4 555 965</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Краткосрочные активы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8" w:type="dxa"/>
            <w:gridSpan w:val="2"/>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7" w:type="dxa"/>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Запасы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rPr>
            </w:pPr>
            <w:r>
              <w:rPr>
                <w:rStyle w:val="285pt1"/>
                <w:rFonts w:eastAsia="Arial Unicode MS" w:ascii="Cambria" w:hAnsi="Cambria"/>
                <w:color w:val="auto"/>
                <w:sz w:val="18"/>
                <w:szCs w:val="18"/>
              </w:rPr>
              <w:t>8</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1 233 342</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1 231 847</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1 025 283</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Торговая и прочая дебиторская задолженность</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color w:val="auto"/>
                <w:sz w:val="18"/>
                <w:szCs w:val="18"/>
              </w:rPr>
            </w:pPr>
            <w:r>
              <w:rPr>
                <w:rStyle w:val="285pt1"/>
                <w:rFonts w:ascii="Cambria" w:hAnsi="Cambria"/>
                <w:color w:val="auto"/>
                <w:sz w:val="18"/>
                <w:szCs w:val="18"/>
              </w:rPr>
              <w:t>9</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640 202</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178 266</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212 611</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Краткосрочные финансовые активы</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color w:val="auto"/>
                <w:sz w:val="18"/>
                <w:szCs w:val="18"/>
                <w:lang w:val="en-US"/>
              </w:rPr>
            </w:pPr>
            <w:r>
              <w:rPr>
                <w:rFonts w:ascii="Cambria" w:hAnsi="Cambria"/>
                <w:color w:val="auto"/>
                <w:sz w:val="18"/>
                <w:szCs w:val="18"/>
                <w:lang w:val="en-US"/>
              </w:rPr>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48</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0</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0</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Авансы выданные</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rPr>
            </w:pPr>
            <w:r>
              <w:rPr>
                <w:rStyle w:val="285pt1"/>
                <w:rFonts w:eastAsia="Arial Unicode MS" w:ascii="Cambria" w:hAnsi="Cambria"/>
                <w:color w:val="auto"/>
                <w:sz w:val="18"/>
                <w:szCs w:val="18"/>
              </w:rPr>
              <w:t>10</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51 293</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71 097</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213 158</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Денежные средства и их эквиваленты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rPr>
            </w:pPr>
            <w:r>
              <w:rPr>
                <w:rStyle w:val="285pt1"/>
                <w:rFonts w:eastAsia="Arial Unicode MS" w:ascii="Cambria" w:hAnsi="Cambria"/>
                <w:color w:val="auto"/>
                <w:sz w:val="18"/>
                <w:szCs w:val="18"/>
              </w:rPr>
              <w:t>11</w:t>
            </w:r>
          </w:p>
        </w:tc>
        <w:tc>
          <w:tcPr>
            <w:tcW w:w="1560" w:type="dxa"/>
            <w:gridSpan w:val="4"/>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95 665</w:t>
            </w:r>
          </w:p>
        </w:tc>
        <w:tc>
          <w:tcPr>
            <w:tcW w:w="1418" w:type="dxa"/>
            <w:gridSpan w:val="2"/>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284 007</w:t>
            </w:r>
          </w:p>
        </w:tc>
        <w:tc>
          <w:tcPr>
            <w:tcW w:w="1417"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535 582</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Итого краткосрочные активы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2 020 549</w:t>
            </w:r>
          </w:p>
        </w:tc>
        <w:tc>
          <w:tcPr>
            <w:tcW w:w="1418" w:type="dxa"/>
            <w:gridSpan w:val="2"/>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1 765 218</w:t>
            </w:r>
          </w:p>
        </w:tc>
        <w:tc>
          <w:tcPr>
            <w:tcW w:w="1417" w:type="dxa"/>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1 986 634</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ИТОГО АКТИВОВ</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top w:val="single" w:sz="4" w:space="0" w:color="000000"/>
              <w:bottom w:val="double" w:sz="4" w:space="0" w:color="000000"/>
              <w:insideH w:val="doub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Cs/>
                <w:color w:val="000000"/>
                <w:sz w:val="18"/>
                <w:szCs w:val="18"/>
              </w:rPr>
            </w:pPr>
            <w:r>
              <w:rPr>
                <w:rFonts w:cs="Arial CYR" w:ascii="Cambria" w:hAnsi="Cambria"/>
                <w:b/>
                <w:bCs/>
                <w:color w:val="000000"/>
                <w:sz w:val="18"/>
                <w:szCs w:val="18"/>
              </w:rPr>
              <w:t>5 958 226</w:t>
            </w:r>
          </w:p>
        </w:tc>
        <w:tc>
          <w:tcPr>
            <w:tcW w:w="1418" w:type="dxa"/>
            <w:gridSpan w:val="2"/>
            <w:tcBorders>
              <w:top w:val="single" w:sz="4" w:space="0" w:color="000000"/>
              <w:bottom w:val="double" w:sz="4" w:space="0" w:color="000000"/>
              <w:insideH w:val="doub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Cs/>
                <w:color w:val="000000"/>
                <w:sz w:val="18"/>
                <w:szCs w:val="18"/>
              </w:rPr>
            </w:pPr>
            <w:r>
              <w:rPr>
                <w:rFonts w:cs="Arial CYR" w:ascii="Cambria" w:hAnsi="Cambria"/>
                <w:b/>
                <w:bCs/>
                <w:color w:val="000000"/>
                <w:sz w:val="18"/>
                <w:szCs w:val="18"/>
              </w:rPr>
              <w:t>5 977 414</w:t>
            </w:r>
          </w:p>
        </w:tc>
        <w:tc>
          <w:tcPr>
            <w:tcW w:w="1417" w:type="dxa"/>
            <w:tcBorders>
              <w:top w:val="single" w:sz="4" w:space="0" w:color="000000"/>
              <w:bottom w:val="double" w:sz="4" w:space="0" w:color="000000"/>
              <w:insideH w:val="doub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6 542 599</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КАПИТАЛ И ОБЯЗАТЕЛЬСТВА</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top w:val="doub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8" w:type="dxa"/>
            <w:gridSpan w:val="2"/>
            <w:tcBorders>
              <w:top w:val="doub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7" w:type="dxa"/>
            <w:tcBorders>
              <w:top w:val="doub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Капитал и резервы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shd w:color="auto" w:fill="FFFFFF" w:val="clear"/>
            <w:vAlign w:val="center"/>
          </w:tcPr>
          <w:p>
            <w:pPr>
              <w:pStyle w:val="Normal"/>
              <w:ind w:right="134" w:hanging="0"/>
              <w:jc w:val="right"/>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418" w:type="dxa"/>
            <w:gridSpan w:val="2"/>
            <w:tcBorders/>
            <w:shd w:color="auto" w:fill="FFFFFF" w:val="clear"/>
            <w:vAlign w:val="center"/>
          </w:tcPr>
          <w:p>
            <w:pPr>
              <w:pStyle w:val="Normal"/>
              <w:ind w:right="134" w:hanging="0"/>
              <w:jc w:val="right"/>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417" w:type="dxa"/>
            <w:tcBorders/>
            <w:shd w:color="auto" w:fill="FFFFFF" w:val="clear"/>
            <w:vAlign w:val="center"/>
          </w:tcPr>
          <w:p>
            <w:pPr>
              <w:pStyle w:val="Normal"/>
              <w:ind w:right="134" w:hanging="0"/>
              <w:jc w:val="right"/>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Уставный капитал</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color w:val="auto"/>
                <w:sz w:val="18"/>
                <w:szCs w:val="18"/>
              </w:rPr>
            </w:pPr>
            <w:r>
              <w:rPr>
                <w:rStyle w:val="285pt1"/>
                <w:rFonts w:ascii="Cambria" w:hAnsi="Cambria"/>
                <w:color w:val="auto"/>
                <w:sz w:val="18"/>
                <w:szCs w:val="18"/>
              </w:rPr>
              <w:t>12</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118 000</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118 000</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118 000</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Резервный капитал</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12 000</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12 000</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12 000</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Нераспределенная прибыль</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3 935 752</w:t>
            </w:r>
          </w:p>
        </w:tc>
        <w:tc>
          <w:tcPr>
            <w:tcW w:w="1418" w:type="dxa"/>
            <w:gridSpan w:val="2"/>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3 847 007</w:t>
            </w:r>
          </w:p>
        </w:tc>
        <w:tc>
          <w:tcPr>
            <w:tcW w:w="1417"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4 027 052</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Итого капитал и резервы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4 065 752</w:t>
            </w:r>
          </w:p>
        </w:tc>
        <w:tc>
          <w:tcPr>
            <w:tcW w:w="1418" w:type="dxa"/>
            <w:gridSpan w:val="2"/>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3 977 007</w:t>
            </w:r>
          </w:p>
        </w:tc>
        <w:tc>
          <w:tcPr>
            <w:tcW w:w="1417" w:type="dxa"/>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Cs/>
                <w:color w:val="000000"/>
                <w:sz w:val="18"/>
                <w:szCs w:val="18"/>
              </w:rPr>
            </w:pPr>
            <w:r>
              <w:rPr>
                <w:rFonts w:cs="Arial CYR" w:ascii="Cambria" w:hAnsi="Cambria"/>
                <w:b/>
                <w:bCs/>
                <w:color w:val="000000"/>
                <w:sz w:val="18"/>
                <w:szCs w:val="18"/>
              </w:rPr>
              <w:t>4 157 052</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Долгосрочные обязательства</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top w:val="sing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8" w:type="dxa"/>
            <w:gridSpan w:val="2"/>
            <w:tcBorders>
              <w:top w:val="sing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7" w:type="dxa"/>
            <w:tcBorders>
              <w:top w:val="sing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Долгосрочная задолженность по лизингу</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color w:val="auto"/>
                <w:sz w:val="18"/>
                <w:szCs w:val="18"/>
              </w:rPr>
            </w:pPr>
            <w:r>
              <w:rPr>
                <w:rStyle w:val="285pt1"/>
                <w:rFonts w:ascii="Cambria" w:hAnsi="Cambria"/>
                <w:color w:val="auto"/>
                <w:sz w:val="18"/>
                <w:szCs w:val="18"/>
              </w:rPr>
              <w:t>15</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color w:val="auto"/>
                <w:sz w:val="18"/>
                <w:szCs w:val="18"/>
              </w:rPr>
            </w:pPr>
            <w:r>
              <w:rPr>
                <w:rFonts w:ascii="Cambria" w:hAnsi="Cambria"/>
                <w:sz w:val="18"/>
                <w:szCs w:val="18"/>
              </w:rPr>
              <w:t>11 833</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color w:val="auto"/>
                <w:sz w:val="18"/>
                <w:szCs w:val="18"/>
              </w:rPr>
            </w:pPr>
            <w:r>
              <w:rPr>
                <w:rFonts w:ascii="Cambria" w:hAnsi="Cambria"/>
                <w:sz w:val="18"/>
                <w:szCs w:val="18"/>
              </w:rPr>
              <w:t>1 830</w:t>
            </w:r>
          </w:p>
        </w:tc>
        <w:tc>
          <w:tcPr>
            <w:tcW w:w="1417" w:type="dxa"/>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color w:val="auto"/>
                <w:sz w:val="18"/>
                <w:szCs w:val="18"/>
              </w:rPr>
            </w:pPr>
            <w:r>
              <w:rPr>
                <w:rFonts w:cs="Arial CYR" w:ascii="Cambria" w:hAnsi="Cambria"/>
                <w:sz w:val="18"/>
                <w:szCs w:val="18"/>
              </w:rPr>
              <w:t>8 218</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Отложенные налоговые обязательства</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rPr>
            </w:pPr>
            <w:r>
              <w:rPr>
                <w:rStyle w:val="285pt1"/>
                <w:rFonts w:eastAsia="Arial Unicode MS" w:ascii="Cambria" w:hAnsi="Cambria"/>
                <w:color w:val="auto"/>
                <w:sz w:val="18"/>
                <w:szCs w:val="18"/>
              </w:rPr>
              <w:t>16</w:t>
            </w:r>
          </w:p>
        </w:tc>
        <w:tc>
          <w:tcPr>
            <w:tcW w:w="1560" w:type="dxa"/>
            <w:gridSpan w:val="4"/>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color w:val="auto"/>
                <w:sz w:val="18"/>
                <w:szCs w:val="18"/>
              </w:rPr>
            </w:pPr>
            <w:r>
              <w:rPr>
                <w:rFonts w:ascii="Cambria" w:hAnsi="Cambria"/>
                <w:sz w:val="18"/>
                <w:szCs w:val="18"/>
              </w:rPr>
              <w:t>713 541</w:t>
            </w:r>
          </w:p>
        </w:tc>
        <w:tc>
          <w:tcPr>
            <w:tcW w:w="1418" w:type="dxa"/>
            <w:gridSpan w:val="2"/>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color w:val="auto"/>
                <w:sz w:val="18"/>
                <w:szCs w:val="18"/>
              </w:rPr>
            </w:pPr>
            <w:r>
              <w:rPr>
                <w:rFonts w:ascii="Cambria" w:hAnsi="Cambria"/>
                <w:sz w:val="18"/>
                <w:szCs w:val="18"/>
              </w:rPr>
              <w:t>768 838</w:t>
            </w:r>
          </w:p>
        </w:tc>
        <w:tc>
          <w:tcPr>
            <w:tcW w:w="1417"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color w:val="auto"/>
                <w:sz w:val="18"/>
                <w:szCs w:val="18"/>
              </w:rPr>
            </w:pPr>
            <w:r>
              <w:rPr>
                <w:rFonts w:cs="Arial CYR" w:ascii="Cambria" w:hAnsi="Cambria"/>
                <w:sz w:val="18"/>
                <w:szCs w:val="18"/>
              </w:rPr>
              <w:t>821 387</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Итого долгосрочных обязательств</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color w:val="auto"/>
                <w:sz w:val="18"/>
                <w:szCs w:val="18"/>
                <w:lang w:val="en-US"/>
              </w:rPr>
            </w:pPr>
            <w:r>
              <w:rPr>
                <w:rFonts w:ascii="Cambria" w:hAnsi="Cambria"/>
                <w:color w:val="auto"/>
                <w:sz w:val="18"/>
                <w:szCs w:val="18"/>
                <w:lang w:val="en-US"/>
              </w:rPr>
            </w:r>
          </w:p>
        </w:tc>
        <w:tc>
          <w:tcPr>
            <w:tcW w:w="1560" w:type="dxa"/>
            <w:gridSpan w:val="4"/>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725 374</w:t>
            </w:r>
          </w:p>
        </w:tc>
        <w:tc>
          <w:tcPr>
            <w:tcW w:w="1418" w:type="dxa"/>
            <w:gridSpan w:val="2"/>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770 668</w:t>
            </w:r>
          </w:p>
        </w:tc>
        <w:tc>
          <w:tcPr>
            <w:tcW w:w="1417" w:type="dxa"/>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Cs/>
                <w:color w:val="000000"/>
                <w:sz w:val="18"/>
                <w:szCs w:val="18"/>
              </w:rPr>
            </w:pPr>
            <w:r>
              <w:rPr>
                <w:rFonts w:cs="Arial CYR" w:ascii="Cambria" w:hAnsi="Cambria"/>
                <w:b/>
                <w:bCs/>
                <w:color w:val="000000"/>
                <w:sz w:val="18"/>
                <w:szCs w:val="18"/>
              </w:rPr>
              <w:t>829 605</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Краткосрочные обязательства</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top w:val="sing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8" w:type="dxa"/>
            <w:gridSpan w:val="2"/>
            <w:tcBorders>
              <w:top w:val="sing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7" w:type="dxa"/>
            <w:tcBorders>
              <w:top w:val="sing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Краткосрочные кредиты и займы</w:t>
            </w:r>
          </w:p>
        </w:tc>
        <w:tc>
          <w:tcPr>
            <w:tcW w:w="992" w:type="dxa"/>
            <w:tcBorders/>
            <w:shd w:color="auto" w:fill="FFFFFF" w:val="clear"/>
            <w:vAlign w:val="center"/>
          </w:tcPr>
          <w:p>
            <w:pPr>
              <w:pStyle w:val="Normal"/>
              <w:ind w:right="134" w:hanging="0"/>
              <w:jc w:val="center"/>
              <w:rPr>
                <w:rStyle w:val="285pt1"/>
                <w:rFonts w:ascii="Cambria" w:hAnsi="Cambria" w:eastAsia="Arial Unicode MS"/>
                <w:color w:val="auto"/>
                <w:sz w:val="18"/>
                <w:szCs w:val="18"/>
              </w:rPr>
            </w:pPr>
            <w:r>
              <w:rPr>
                <w:rStyle w:val="285pt1"/>
                <w:rFonts w:eastAsia="Arial Unicode MS" w:ascii="Cambria" w:hAnsi="Cambria"/>
                <w:color w:val="auto"/>
                <w:sz w:val="18"/>
                <w:szCs w:val="18"/>
              </w:rPr>
              <w:t>13</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99 485</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132 023</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6 000</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1"/>
                <w:rFonts w:ascii="Cambria" w:hAnsi="Cambria"/>
                <w:color w:val="auto"/>
                <w:sz w:val="18"/>
                <w:szCs w:val="18"/>
              </w:rPr>
              <w:t>Торговая и прочая кредиторская задолженность</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color w:val="auto"/>
                <w:sz w:val="18"/>
                <w:szCs w:val="18"/>
              </w:rPr>
            </w:pPr>
            <w:r>
              <w:rPr>
                <w:rStyle w:val="285pt1"/>
                <w:rFonts w:ascii="Cambria" w:hAnsi="Cambria"/>
                <w:color w:val="auto"/>
                <w:sz w:val="18"/>
                <w:szCs w:val="18"/>
              </w:rPr>
              <w:t>14</w:t>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327 592</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292 267</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309 577</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Задолженность к уплате налога на прибыль</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color w:val="auto"/>
                <w:sz w:val="18"/>
                <w:szCs w:val="18"/>
              </w:rPr>
            </w:pPr>
            <w:r>
              <w:rPr>
                <w:rFonts w:ascii="Cambria" w:hAnsi="Cambria"/>
                <w:color w:val="auto"/>
                <w:sz w:val="18"/>
                <w:szCs w:val="18"/>
              </w:rPr>
            </w:r>
          </w:p>
        </w:tc>
        <w:tc>
          <w:tcPr>
            <w:tcW w:w="1560" w:type="dxa"/>
            <w:gridSpan w:val="4"/>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w:t>
            </w:r>
          </w:p>
        </w:tc>
        <w:tc>
          <w:tcPr>
            <w:tcW w:w="1418" w:type="dxa"/>
            <w:gridSpan w:val="2"/>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w:t>
            </w:r>
          </w:p>
        </w:tc>
        <w:tc>
          <w:tcPr>
            <w:tcW w:w="1417" w:type="dxa"/>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79 787</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 xml:space="preserve">Авансы полученные </w:t>
            </w:r>
          </w:p>
        </w:tc>
        <w:tc>
          <w:tcPr>
            <w:tcW w:w="992" w:type="dxa"/>
            <w:tcBorders/>
            <w:shd w:color="auto" w:fill="FFFFFF" w:val="clear"/>
            <w:vAlign w:val="center"/>
          </w:tcPr>
          <w:p>
            <w:pPr>
              <w:pStyle w:val="210"/>
              <w:shd w:val="clear" w:color="auto" w:fill="auto"/>
              <w:spacing w:lineRule="auto" w:line="240" w:before="0" w:after="0"/>
              <w:ind w:right="134" w:hanging="0"/>
              <w:jc w:val="center"/>
              <w:rPr>
                <w:rStyle w:val="285pt1"/>
                <w:rFonts w:ascii="Cambria" w:hAnsi="Cambria"/>
                <w:color w:val="auto"/>
                <w:sz w:val="18"/>
                <w:szCs w:val="18"/>
              </w:rPr>
            </w:pPr>
            <w:r>
              <w:rPr>
                <w:rFonts w:ascii="Cambria" w:hAnsi="Cambria"/>
                <w:color w:val="auto"/>
                <w:sz w:val="18"/>
                <w:szCs w:val="18"/>
              </w:rPr>
            </w:r>
          </w:p>
        </w:tc>
        <w:tc>
          <w:tcPr>
            <w:tcW w:w="1560" w:type="dxa"/>
            <w:gridSpan w:val="4"/>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740 022</w:t>
            </w:r>
          </w:p>
        </w:tc>
        <w:tc>
          <w:tcPr>
            <w:tcW w:w="1418" w:type="dxa"/>
            <w:gridSpan w:val="2"/>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ascii="Cambria" w:hAnsi="Cambria"/>
                <w:sz w:val="18"/>
                <w:szCs w:val="18"/>
              </w:rPr>
              <w:t>805 449</w:t>
            </w:r>
          </w:p>
        </w:tc>
        <w:tc>
          <w:tcPr>
            <w:tcW w:w="1417"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sz w:val="18"/>
                <w:szCs w:val="18"/>
              </w:rPr>
            </w:pPr>
            <w:r>
              <w:rPr>
                <w:rFonts w:cs="Arial CYR" w:ascii="Cambria" w:hAnsi="Cambria"/>
                <w:sz w:val="18"/>
                <w:szCs w:val="18"/>
              </w:rPr>
              <w:t>1 160 578</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Итого краткосрочных обязательств</w:t>
            </w:r>
          </w:p>
        </w:tc>
        <w:tc>
          <w:tcPr>
            <w:tcW w:w="992" w:type="dxa"/>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color w:val="auto"/>
                <w:sz w:val="18"/>
                <w:szCs w:val="18"/>
                <w:lang w:val="en-US"/>
              </w:rPr>
            </w:pPr>
            <w:r>
              <w:rPr>
                <w:rFonts w:ascii="Cambria" w:hAnsi="Cambria"/>
                <w:color w:val="auto"/>
                <w:sz w:val="18"/>
                <w:szCs w:val="18"/>
                <w:lang w:val="en-US"/>
              </w:rPr>
            </w:r>
          </w:p>
        </w:tc>
        <w:tc>
          <w:tcPr>
            <w:tcW w:w="1560" w:type="dxa"/>
            <w:gridSpan w:val="4"/>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Cs/>
                <w:color w:val="000000"/>
                <w:sz w:val="18"/>
                <w:szCs w:val="18"/>
              </w:rPr>
            </w:pPr>
            <w:r>
              <w:rPr>
                <w:rFonts w:cs="Arial CYR" w:ascii="Cambria" w:hAnsi="Cambria"/>
                <w:b/>
                <w:bCs/>
                <w:color w:val="000000"/>
                <w:sz w:val="18"/>
                <w:szCs w:val="18"/>
              </w:rPr>
              <w:t>1 167 099</w:t>
            </w:r>
          </w:p>
        </w:tc>
        <w:tc>
          <w:tcPr>
            <w:tcW w:w="1418" w:type="dxa"/>
            <w:gridSpan w:val="2"/>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
                <w:b/>
                <w:bCs/>
                <w:color w:val="000000"/>
                <w:sz w:val="18"/>
                <w:szCs w:val="18"/>
              </w:rPr>
            </w:pPr>
            <w:r>
              <w:rPr>
                <w:rFonts w:cs="Arial CYR" w:ascii="Cambria" w:hAnsi="Cambria"/>
                <w:b/>
                <w:bCs/>
                <w:color w:val="000000"/>
                <w:sz w:val="18"/>
                <w:szCs w:val="18"/>
              </w:rPr>
              <w:t>1 229 738</w:t>
            </w:r>
          </w:p>
        </w:tc>
        <w:tc>
          <w:tcPr>
            <w:tcW w:w="1417" w:type="dxa"/>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Fonts w:ascii="Cambria" w:hAnsi="Cambria" w:cs="Calibri"/>
                <w:bCs/>
                <w:color w:val="000000"/>
                <w:sz w:val="18"/>
                <w:szCs w:val="18"/>
              </w:rPr>
            </w:pPr>
            <w:r>
              <w:rPr>
                <w:rFonts w:cs="Arial CYR" w:ascii="Cambria" w:hAnsi="Cambria"/>
                <w:b/>
                <w:bCs/>
                <w:color w:val="000000"/>
                <w:sz w:val="18"/>
                <w:szCs w:val="18"/>
              </w:rPr>
              <w:t>1 555 943</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color w:val="auto"/>
                <w:sz w:val="18"/>
                <w:szCs w:val="18"/>
              </w:rPr>
              <w:t>Итого обязательств</w:t>
            </w:r>
          </w:p>
        </w:tc>
        <w:tc>
          <w:tcPr>
            <w:tcW w:w="992" w:type="dxa"/>
            <w:tcBorders/>
            <w:shd w:color="auto" w:fill="FFFFFF" w:val="clear"/>
            <w:vAlign w:val="center"/>
          </w:tcPr>
          <w:p>
            <w:pPr>
              <w:pStyle w:val="Normal"/>
              <w:ind w:right="134" w:hanging="0"/>
              <w:jc w:val="right"/>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cs="Arial CYR" w:ascii="Cambria" w:hAnsi="Cambria"/>
                <w:b/>
                <w:bCs/>
                <w:color w:val="000000"/>
                <w:sz w:val="18"/>
                <w:szCs w:val="18"/>
              </w:rPr>
              <w:t>1 880 641</w:t>
            </w:r>
          </w:p>
        </w:tc>
        <w:tc>
          <w:tcPr>
            <w:tcW w:w="1418" w:type="dxa"/>
            <w:gridSpan w:val="2"/>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cs="Arial CYR" w:ascii="Cambria" w:hAnsi="Cambria"/>
                <w:b/>
                <w:bCs/>
                <w:color w:val="000000"/>
                <w:sz w:val="18"/>
                <w:szCs w:val="18"/>
              </w:rPr>
              <w:t>2 000 406</w:t>
            </w:r>
          </w:p>
        </w:tc>
        <w:tc>
          <w:tcPr>
            <w:tcW w:w="1417" w:type="dxa"/>
            <w:tcBorders>
              <w:top w:val="single" w:sz="4" w:space="0" w:color="000000"/>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cs="Arial CYR" w:ascii="Cambria" w:hAnsi="Cambria"/>
                <w:b/>
                <w:bCs/>
                <w:color w:val="000000"/>
                <w:sz w:val="18"/>
                <w:szCs w:val="18"/>
              </w:rPr>
              <w:t>2 377 330</w:t>
            </w:r>
          </w:p>
        </w:tc>
      </w:tr>
      <w:tr>
        <w:trPr>
          <w:trHeight w:val="283" w:hRule="atLeast"/>
          <w:cantSplit w:val="true"/>
        </w:trPr>
        <w:tc>
          <w:tcPr>
            <w:tcW w:w="4962" w:type="dxa"/>
            <w:tcBorders/>
            <w:shd w:color="auto" w:fill="FFFFFF" w:val="clear"/>
            <w:vAlign w:val="center"/>
          </w:tcPr>
          <w:p>
            <w:pPr>
              <w:pStyle w:val="210"/>
              <w:shd w:val="clear" w:color="auto" w:fill="auto"/>
              <w:spacing w:lineRule="auto" w:line="240" w:before="0" w:after="0"/>
              <w:ind w:right="134" w:hanging="0"/>
              <w:jc w:val="left"/>
              <w:rPr>
                <w:rStyle w:val="285pt"/>
                <w:rFonts w:ascii="Cambria" w:hAnsi="Cambria"/>
                <w:color w:val="auto"/>
                <w:sz w:val="18"/>
                <w:szCs w:val="18"/>
              </w:rPr>
            </w:pPr>
            <w:r>
              <w:rPr>
                <w:rStyle w:val="285pt"/>
                <w:rFonts w:ascii="Cambria" w:hAnsi="Cambria"/>
                <w:color w:val="auto"/>
                <w:sz w:val="18"/>
                <w:szCs w:val="18"/>
              </w:rPr>
              <w:t>ИТОГО КАПИТАЛ И ОБЯЗАТЕЛЬСТВА</w:t>
            </w:r>
          </w:p>
        </w:tc>
        <w:tc>
          <w:tcPr>
            <w:tcW w:w="992" w:type="dxa"/>
            <w:tcBorders/>
            <w:shd w:color="auto" w:fill="FFFFFF" w:val="clear"/>
            <w:vAlign w:val="center"/>
          </w:tcPr>
          <w:p>
            <w:pPr>
              <w:pStyle w:val="Normal"/>
              <w:ind w:right="134" w:hanging="0"/>
              <w:jc w:val="right"/>
              <w:rPr>
                <w:rStyle w:val="285pt1"/>
                <w:rFonts w:ascii="Cambria" w:hAnsi="Cambria" w:eastAsia="Arial Unicode MS"/>
                <w:color w:val="auto"/>
                <w:sz w:val="18"/>
                <w:szCs w:val="18"/>
                <w:lang w:val="en-US"/>
              </w:rPr>
            </w:pPr>
            <w:r>
              <w:rPr>
                <w:rFonts w:eastAsia="Arial Unicode MS" w:ascii="Cambria" w:hAnsi="Cambria"/>
                <w:color w:val="auto"/>
                <w:sz w:val="18"/>
                <w:szCs w:val="18"/>
                <w:lang w:val="en-US"/>
              </w:rPr>
            </w:r>
          </w:p>
        </w:tc>
        <w:tc>
          <w:tcPr>
            <w:tcW w:w="1560" w:type="dxa"/>
            <w:gridSpan w:val="4"/>
            <w:tcBorders>
              <w:top w:val="single" w:sz="4" w:space="0" w:color="000000"/>
              <w:bottom w:val="double" w:sz="4" w:space="0" w:color="000000"/>
              <w:insideH w:val="doub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cs="Arial CYR" w:ascii="Cambria" w:hAnsi="Cambria"/>
                <w:b/>
                <w:bCs/>
                <w:color w:val="000000"/>
                <w:sz w:val="18"/>
                <w:szCs w:val="18"/>
              </w:rPr>
              <w:t>5 958 226</w:t>
            </w:r>
          </w:p>
        </w:tc>
        <w:tc>
          <w:tcPr>
            <w:tcW w:w="1418" w:type="dxa"/>
            <w:gridSpan w:val="2"/>
            <w:tcBorders>
              <w:top w:val="single" w:sz="4" w:space="0" w:color="000000"/>
              <w:bottom w:val="double" w:sz="4" w:space="0" w:color="000000"/>
              <w:insideH w:val="doub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cs="Arial CYR" w:ascii="Cambria" w:hAnsi="Cambria"/>
                <w:b/>
                <w:bCs/>
                <w:color w:val="000000"/>
                <w:sz w:val="18"/>
                <w:szCs w:val="18"/>
              </w:rPr>
              <w:t>5 977 414</w:t>
            </w:r>
          </w:p>
        </w:tc>
        <w:tc>
          <w:tcPr>
            <w:tcW w:w="1417" w:type="dxa"/>
            <w:tcBorders>
              <w:top w:val="single" w:sz="4" w:space="0" w:color="000000"/>
              <w:bottom w:val="double" w:sz="4" w:space="0" w:color="000000"/>
              <w:insideH w:val="double" w:sz="4" w:space="0" w:color="000000"/>
            </w:tcBorders>
            <w:shd w:color="auto" w:fill="FFFFFF" w:val="clear"/>
            <w:vAlign w:val="bottom"/>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cs="Arial CYR" w:ascii="Cambria" w:hAnsi="Cambria"/>
                <w:b/>
                <w:bCs/>
                <w:color w:val="000000"/>
                <w:sz w:val="18"/>
                <w:szCs w:val="18"/>
              </w:rPr>
              <w:t>6 542 599</w:t>
            </w:r>
          </w:p>
        </w:tc>
      </w:tr>
      <w:tr>
        <w:trPr>
          <w:trHeight w:val="283" w:hRule="atLeast"/>
          <w:cantSplit w:val="true"/>
        </w:trPr>
        <w:tc>
          <w:tcPr>
            <w:tcW w:w="6146" w:type="dxa"/>
            <w:gridSpan w:val="3"/>
            <w:tcBorders/>
            <w:shd w:color="auto" w:fill="FFFFFF"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r>
          </w:p>
        </w:tc>
        <w:tc>
          <w:tcPr>
            <w:tcW w:w="1134" w:type="dxa"/>
            <w:tcBorders/>
            <w:shd w:color="auto" w:fill="FFFFFF" w:val="clear"/>
            <w:vAlign w:val="center"/>
          </w:tcPr>
          <w:p>
            <w:pPr>
              <w:pStyle w:val="Normal"/>
              <w:ind w:right="134" w:hanging="0"/>
              <w:jc w:val="center"/>
              <w:rPr>
                <w:rStyle w:val="285pt1"/>
                <w:rFonts w:ascii="Cambria" w:hAnsi="Cambria" w:eastAsia="Arial Unicode MS"/>
                <w:color w:val="auto"/>
                <w:sz w:val="18"/>
                <w:szCs w:val="18"/>
              </w:rPr>
            </w:pPr>
            <w:r>
              <w:rPr>
                <w:rFonts w:eastAsia="Arial Unicode MS" w:ascii="Cambria" w:hAnsi="Cambria"/>
                <w:color w:val="auto"/>
                <w:sz w:val="18"/>
                <w:szCs w:val="18"/>
              </w:rPr>
            </w:r>
          </w:p>
        </w:tc>
        <w:tc>
          <w:tcPr>
            <w:tcW w:w="233" w:type="dxa"/>
            <w:tcBorders>
              <w:top w:val="doub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8" w:type="dxa"/>
            <w:gridSpan w:val="2"/>
            <w:tcBorders>
              <w:top w:val="double" w:sz="4" w:space="0" w:color="000000"/>
            </w:tcBorders>
            <w:shd w:color="auto" w:fill="FFFFFF" w:val="clear"/>
            <w:vAlign w:val="cente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c>
          <w:tcPr>
            <w:tcW w:w="1418" w:type="dxa"/>
            <w:gridSpan w:val="2"/>
            <w:tcBorders>
              <w:top w:val="double" w:sz="4" w:space="0" w:color="000000"/>
            </w:tcBorders>
            <w:shd w:color="auto" w:fill="FFFFFF" w:val="clear"/>
          </w:tcPr>
          <w:p>
            <w:pPr>
              <w:pStyle w:val="210"/>
              <w:shd w:val="clear" w:color="auto" w:fill="auto"/>
              <w:spacing w:lineRule="auto" w:line="240" w:before="0" w:after="0"/>
              <w:ind w:right="134" w:hanging="0"/>
              <w:jc w:val="right"/>
              <w:rPr>
                <w:rStyle w:val="285pt1"/>
                <w:rFonts w:ascii="Cambria" w:hAnsi="Cambria"/>
                <w:b/>
                <w:b/>
                <w:color w:val="auto"/>
                <w:sz w:val="18"/>
                <w:szCs w:val="18"/>
              </w:rPr>
            </w:pPr>
            <w:r>
              <w:rPr>
                <w:rFonts w:ascii="Cambria" w:hAnsi="Cambria"/>
                <w:b/>
                <w:color w:val="auto"/>
                <w:sz w:val="18"/>
                <w:szCs w:val="18"/>
              </w:rPr>
            </w:r>
          </w:p>
        </w:tc>
      </w:tr>
    </w:tbl>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Настоящая консолидированная финансовая отчетность утверждена руководством 26 апреля 2019 года. От имени руководства отчетность подписали: </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_______________________ </w:t>
        <w:tab/>
        <w:t xml:space="preserve">             ____________________</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Генеральный директор                                                                                        Главный бухгалтер</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Янин В.И.                                                                                                                        Рыбкина И.Ю.                                                                                                           </w:t>
        <w:tab/>
        <w:t xml:space="preserve">            </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                                                                                                                                           </w:t>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t>г. Москва</w:t>
      </w:r>
    </w:p>
    <w:p>
      <w:pPr>
        <w:sectPr>
          <w:headerReference w:type="default" r:id="rId4"/>
          <w:footerReference w:type="default" r:id="rId5"/>
          <w:type w:val="nextPage"/>
          <w:pgSz w:w="11906" w:h="16838"/>
          <w:pgMar w:left="1134" w:right="851" w:header="680" w:top="851" w:footer="680" w:bottom="851" w:gutter="0"/>
          <w:pgNumType w:fmt="decimal"/>
          <w:formProt w:val="false"/>
          <w:textDirection w:val="lrTb"/>
          <w:docGrid w:type="default" w:linePitch="360" w:charSpace="0"/>
        </w:sectPr>
        <w:pStyle w:val="45"/>
        <w:shd w:val="clear" w:color="auto" w:fill="auto"/>
        <w:spacing w:lineRule="exact" w:line="260" w:before="0" w:after="368"/>
        <w:ind w:right="134" w:hanging="0"/>
        <w:rPr>
          <w:rFonts w:ascii="Cambria" w:hAnsi="Cambria"/>
          <w:sz w:val="20"/>
          <w:szCs w:val="20"/>
        </w:rPr>
      </w:pPr>
      <w:r>
        <w:rPr>
          <w:rFonts w:ascii="Cambria" w:hAnsi="Cambria"/>
          <w:sz w:val="20"/>
          <w:szCs w:val="20"/>
        </w:rPr>
      </w:r>
    </w:p>
    <w:tbl>
      <w:tblPr>
        <w:tblW w:w="5000" w:type="pct"/>
        <w:jc w:val="center"/>
        <w:tblInd w:w="0" w:type="dxa"/>
        <w:tblBorders/>
        <w:tblCellMar>
          <w:top w:w="0" w:type="dxa"/>
          <w:left w:w="10" w:type="dxa"/>
          <w:bottom w:w="0" w:type="dxa"/>
          <w:right w:w="10" w:type="dxa"/>
        </w:tblCellMar>
        <w:tblLook w:firstRow="1" w:noVBand="1" w:lastRow="0" w:firstColumn="1" w:lastColumn="0" w:noHBand="0" w:val="04a0"/>
      </w:tblPr>
      <w:tblGrid>
        <w:gridCol w:w="5517"/>
        <w:gridCol w:w="1201"/>
        <w:gridCol w:w="1730"/>
        <w:gridCol w:w="1472"/>
      </w:tblGrid>
      <w:tr>
        <w:trPr>
          <w:trHeight w:val="283" w:hRule="atLeast"/>
          <w:cantSplit w:val="true"/>
        </w:trPr>
        <w:tc>
          <w:tcPr>
            <w:tcW w:w="5517" w:type="dxa"/>
            <w:tcBorders/>
            <w:shd w:color="auto" w:fill="FFFFFF" w:val="clear"/>
            <w:vAlign w:val="center"/>
          </w:tcPr>
          <w:p>
            <w:pPr>
              <w:pStyle w:val="210"/>
              <w:shd w:val="clear" w:color="auto" w:fill="auto"/>
              <w:spacing w:lineRule="auto" w:line="240" w:before="0" w:after="0"/>
              <w:ind w:left="-102" w:right="134" w:firstLine="102"/>
              <w:jc w:val="left"/>
              <w:rPr>
                <w:rFonts w:ascii="Cambria" w:hAnsi="Cambria"/>
                <w:sz w:val="18"/>
                <w:szCs w:val="18"/>
              </w:rPr>
            </w:pPr>
            <w:r>
              <w:rPr>
                <w:rFonts w:ascii="Cambria" w:hAnsi="Cambria"/>
                <w:sz w:val="18"/>
                <w:szCs w:val="18"/>
              </w:rPr>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Style w:val="29pt"/>
                <w:rFonts w:ascii="Cambria" w:hAnsi="Cambria"/>
                <w:color w:val="auto"/>
              </w:rPr>
              <w:t>Прим.</w:t>
            </w:r>
          </w:p>
        </w:tc>
        <w:tc>
          <w:tcPr>
            <w:tcW w:w="1730"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Style w:val="29pt"/>
              </w:rPr>
              <w:t>2018</w:t>
            </w:r>
          </w:p>
        </w:tc>
        <w:tc>
          <w:tcPr>
            <w:tcW w:w="1472"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Style w:val="29pt"/>
              </w:rPr>
              <w:t>2017</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bCs/>
                <w:color w:val="auto"/>
                <w:sz w:val="18"/>
                <w:szCs w:val="18"/>
              </w:rPr>
            </w:pPr>
            <w:r>
              <w:rPr>
                <w:rStyle w:val="285pt1"/>
                <w:rFonts w:ascii="Cambria" w:hAnsi="Cambria"/>
                <w:color w:val="auto"/>
                <w:sz w:val="18"/>
                <w:szCs w:val="18"/>
              </w:rPr>
              <w:t>Выручка от реализации товаров, работ, услуг</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t>18</w:t>
            </w:r>
          </w:p>
        </w:tc>
        <w:tc>
          <w:tcPr>
            <w:tcW w:w="1730"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2 742 242</w:t>
            </w:r>
          </w:p>
        </w:tc>
        <w:tc>
          <w:tcPr>
            <w:tcW w:w="1472"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2 466 626</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bCs/>
                <w:color w:val="auto"/>
                <w:sz w:val="18"/>
                <w:szCs w:val="18"/>
              </w:rPr>
            </w:pPr>
            <w:r>
              <w:rPr>
                <w:rStyle w:val="285pt1"/>
                <w:rFonts w:ascii="Cambria" w:hAnsi="Cambria"/>
                <w:color w:val="auto"/>
                <w:sz w:val="18"/>
                <w:szCs w:val="18"/>
              </w:rPr>
              <w:t>Себестоимость реализованных товаров, работ, услуг</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t>19</w:t>
            </w:r>
          </w:p>
        </w:tc>
        <w:tc>
          <w:tcPr>
            <w:tcW w:w="1730"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(1 448 886)</w:t>
            </w:r>
          </w:p>
        </w:tc>
        <w:tc>
          <w:tcPr>
            <w:tcW w:w="1472"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(1 330 500)</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bCs w:val="false"/>
                <w:color w:val="auto"/>
                <w:sz w:val="18"/>
                <w:szCs w:val="18"/>
              </w:rPr>
              <w:t>Валовая прибыль от реализации товаров</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r>
          </w:p>
        </w:tc>
        <w:tc>
          <w:tcPr>
            <w:tcW w:w="1730" w:type="dxa"/>
            <w:tcBorders>
              <w:top w:val="single" w:sz="4" w:space="0" w:color="000000"/>
            </w:tcBorders>
            <w:shd w:color="auto" w:fill="FFFFFF" w:val="clear"/>
          </w:tcPr>
          <w:p>
            <w:pPr>
              <w:pStyle w:val="210"/>
              <w:shd w:val="clear" w:color="auto" w:fill="auto"/>
              <w:spacing w:lineRule="auto" w:line="240" w:before="0" w:after="0"/>
              <w:ind w:hanging="0"/>
              <w:jc w:val="right"/>
              <w:rPr>
                <w:rFonts w:ascii="Cambria" w:hAnsi="Cambria" w:eastAsia="" w:cs="Calibri" w:eastAsiaTheme="minorEastAsia"/>
                <w:b/>
                <w:b/>
                <w:sz w:val="20"/>
                <w:szCs w:val="20"/>
              </w:rPr>
            </w:pPr>
            <w:r>
              <w:rPr>
                <w:rFonts w:cs="Arial" w:ascii="Cambria" w:hAnsi="Cambria"/>
                <w:b/>
                <w:bCs/>
                <w:sz w:val="18"/>
                <w:szCs w:val="18"/>
              </w:rPr>
              <w:t>1 293 357</w:t>
            </w:r>
          </w:p>
        </w:tc>
        <w:tc>
          <w:tcPr>
            <w:tcW w:w="1472" w:type="dxa"/>
            <w:tcBorders>
              <w:top w:val="single" w:sz="4" w:space="0" w:color="000000"/>
            </w:tcBorders>
            <w:shd w:color="auto" w:fill="FFFFFF" w:val="clear"/>
          </w:tcPr>
          <w:p>
            <w:pPr>
              <w:pStyle w:val="210"/>
              <w:shd w:val="clear" w:color="auto" w:fill="auto"/>
              <w:spacing w:lineRule="auto" w:line="240" w:before="0" w:after="0"/>
              <w:ind w:hanging="0"/>
              <w:jc w:val="right"/>
              <w:rPr>
                <w:rFonts w:ascii="Cambria" w:hAnsi="Cambria" w:eastAsia="" w:cs="Calibri" w:eastAsiaTheme="minorEastAsia"/>
                <w:b/>
                <w:b/>
                <w:sz w:val="20"/>
                <w:szCs w:val="20"/>
              </w:rPr>
            </w:pPr>
            <w:r>
              <w:rPr>
                <w:rFonts w:cs="Arial" w:ascii="Cambria" w:hAnsi="Cambria"/>
                <w:b/>
                <w:bCs/>
                <w:sz w:val="18"/>
                <w:szCs w:val="18"/>
              </w:rPr>
              <w:t>1 136 126</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left="-102" w:right="134" w:firstLine="102"/>
              <w:jc w:val="left"/>
              <w:rPr>
                <w:rFonts w:ascii="Cambria" w:hAnsi="Cambria"/>
                <w:b/>
                <w:b/>
                <w:sz w:val="18"/>
                <w:szCs w:val="18"/>
              </w:rPr>
            </w:pPr>
            <w:r>
              <w:rPr>
                <w:rFonts w:ascii="Cambria" w:hAnsi="Cambria"/>
                <w:b/>
                <w:sz w:val="18"/>
                <w:szCs w:val="18"/>
              </w:rPr>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r>
          </w:p>
        </w:tc>
        <w:tc>
          <w:tcPr>
            <w:tcW w:w="1730"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eastAsia="" w:cs="Calibri" w:eastAsiaTheme="minorEastAsia" w:ascii="Cambria" w:hAnsi="Cambria"/>
                <w:sz w:val="20"/>
                <w:szCs w:val="20"/>
              </w:rPr>
            </w:r>
          </w:p>
        </w:tc>
        <w:tc>
          <w:tcPr>
            <w:tcW w:w="1472"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eastAsia="" w:cs="Calibri" w:eastAsiaTheme="minorEastAsia" w:ascii="Cambria" w:hAnsi="Cambria"/>
                <w:sz w:val="20"/>
                <w:szCs w:val="20"/>
              </w:rPr>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Административные расходы</w:t>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t>20</w:t>
            </w:r>
          </w:p>
        </w:tc>
        <w:tc>
          <w:tcPr>
            <w:tcW w:w="1730"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(1 032 785)</w:t>
            </w:r>
          </w:p>
        </w:tc>
        <w:tc>
          <w:tcPr>
            <w:tcW w:w="1472"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(1 143 716)</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Прочие операционные доходы (расходы)</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t>21</w:t>
            </w:r>
          </w:p>
        </w:tc>
        <w:tc>
          <w:tcPr>
            <w:tcW w:w="1730"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(64 295)</w:t>
            </w:r>
          </w:p>
        </w:tc>
        <w:tc>
          <w:tcPr>
            <w:tcW w:w="1472"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(53 455)</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1"/>
                <w:rFonts w:ascii="Cambria" w:hAnsi="Cambria"/>
                <w:color w:val="auto"/>
                <w:sz w:val="18"/>
                <w:szCs w:val="18"/>
              </w:rPr>
            </w:pPr>
            <w:r>
              <w:rPr>
                <w:rStyle w:val="285pt1"/>
                <w:rFonts w:ascii="Cambria" w:hAnsi="Cambria"/>
                <w:color w:val="auto"/>
                <w:sz w:val="18"/>
                <w:szCs w:val="18"/>
              </w:rPr>
              <w:t xml:space="preserve">Изменение стоимости инвестиций </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r>
          </w:p>
        </w:tc>
        <w:tc>
          <w:tcPr>
            <w:tcW w:w="1730"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6 722</w:t>
            </w:r>
          </w:p>
        </w:tc>
        <w:tc>
          <w:tcPr>
            <w:tcW w:w="1472" w:type="dxa"/>
            <w:tcBorders>
              <w:bottom w:val="single" w:sz="4" w:space="0" w:color="000000"/>
              <w:insideH w:val="sing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2 676</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Fonts w:ascii="Cambria" w:hAnsi="Cambria"/>
                <w:b/>
                <w:b/>
                <w:bCs/>
                <w:sz w:val="18"/>
                <w:szCs w:val="18"/>
              </w:rPr>
            </w:pPr>
            <w:r>
              <w:rPr>
                <w:rStyle w:val="285pt"/>
                <w:rFonts w:ascii="Cambria" w:hAnsi="Cambria"/>
                <w:bCs w:val="false"/>
                <w:color w:val="auto"/>
                <w:sz w:val="18"/>
                <w:szCs w:val="18"/>
              </w:rPr>
              <w:t>Прибыль/убыток от операционной деятельности</w:t>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r>
          </w:p>
        </w:tc>
        <w:tc>
          <w:tcPr>
            <w:tcW w:w="1730" w:type="dxa"/>
            <w:tcBorders>
              <w:top w:val="single" w:sz="4" w:space="0" w:color="000000"/>
            </w:tcBorders>
            <w:shd w:color="auto" w:fill="FFFFFF" w:val="clear"/>
          </w:tcPr>
          <w:p>
            <w:pPr>
              <w:pStyle w:val="210"/>
              <w:shd w:val="clear" w:color="auto" w:fill="auto"/>
              <w:spacing w:lineRule="auto" w:line="240" w:before="0" w:after="0"/>
              <w:ind w:hanging="0"/>
              <w:jc w:val="right"/>
              <w:rPr>
                <w:rFonts w:ascii="Cambria" w:hAnsi="Cambria" w:eastAsia="" w:cs="Calibri" w:eastAsiaTheme="minorEastAsia"/>
                <w:b/>
                <w:b/>
                <w:sz w:val="20"/>
                <w:szCs w:val="20"/>
              </w:rPr>
            </w:pPr>
            <w:r>
              <w:rPr>
                <w:rFonts w:cs="Arial" w:ascii="Cambria" w:hAnsi="Cambria"/>
                <w:b/>
                <w:bCs/>
                <w:sz w:val="18"/>
                <w:szCs w:val="18"/>
              </w:rPr>
              <w:t>202 997</w:t>
            </w:r>
          </w:p>
        </w:tc>
        <w:tc>
          <w:tcPr>
            <w:tcW w:w="1472" w:type="dxa"/>
            <w:tcBorders>
              <w:top w:val="single" w:sz="4" w:space="0" w:color="000000"/>
            </w:tcBorders>
            <w:shd w:color="auto" w:fill="FFFFFF" w:val="clear"/>
          </w:tcPr>
          <w:p>
            <w:pPr>
              <w:pStyle w:val="210"/>
              <w:shd w:val="clear" w:color="auto" w:fill="auto"/>
              <w:spacing w:lineRule="auto" w:line="240" w:before="0" w:after="0"/>
              <w:ind w:hanging="0"/>
              <w:jc w:val="right"/>
              <w:rPr>
                <w:rFonts w:ascii="Cambria" w:hAnsi="Cambria" w:eastAsia="" w:cs="Calibri" w:eastAsiaTheme="minorEastAsia"/>
                <w:b/>
                <w:b/>
                <w:sz w:val="20"/>
                <w:szCs w:val="20"/>
              </w:rPr>
            </w:pPr>
            <w:r>
              <w:rPr>
                <w:rFonts w:cs="Arial" w:ascii="Cambria" w:hAnsi="Cambria"/>
                <w:b/>
                <w:bCs/>
                <w:sz w:val="18"/>
                <w:szCs w:val="18"/>
              </w:rPr>
              <w:t>(58 369)</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left="-102" w:right="134" w:firstLine="102"/>
              <w:jc w:val="left"/>
              <w:rPr>
                <w:rFonts w:ascii="Cambria" w:hAnsi="Cambria"/>
                <w:sz w:val="18"/>
                <w:szCs w:val="18"/>
              </w:rPr>
            </w:pPr>
            <w:r>
              <w:rPr>
                <w:rFonts w:cs="Calibri" w:ascii="Cambria" w:hAnsi="Cambria"/>
                <w:color w:val="000000"/>
                <w:sz w:val="18"/>
                <w:szCs w:val="18"/>
              </w:rPr>
              <w:t>Финансовые доходы</w:t>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t>22</w:t>
            </w:r>
          </w:p>
        </w:tc>
        <w:tc>
          <w:tcPr>
            <w:tcW w:w="1730" w:type="dxa"/>
            <w:tcBorders/>
            <w:shd w:fill="auto"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2 564</w:t>
            </w:r>
          </w:p>
        </w:tc>
        <w:tc>
          <w:tcPr>
            <w:tcW w:w="1472" w:type="dxa"/>
            <w:tcBorders/>
            <w:shd w:fill="auto"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10 108</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left="-102" w:right="134" w:firstLine="102"/>
              <w:jc w:val="left"/>
              <w:rPr>
                <w:rFonts w:ascii="Cambria" w:hAnsi="Cambria"/>
                <w:b/>
                <w:b/>
                <w:sz w:val="18"/>
                <w:szCs w:val="18"/>
              </w:rPr>
            </w:pPr>
            <w:r>
              <w:rPr>
                <w:rFonts w:cs="Calibri" w:ascii="Cambria" w:hAnsi="Cambria"/>
                <w:color w:val="000000"/>
                <w:sz w:val="18"/>
                <w:szCs w:val="18"/>
              </w:rPr>
              <w:t>Финансовые расходы</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t>23</w:t>
            </w:r>
          </w:p>
        </w:tc>
        <w:tc>
          <w:tcPr>
            <w:tcW w:w="1730" w:type="dxa"/>
            <w:tcBorders/>
            <w:shd w:fill="auto"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(1 943)</w:t>
            </w:r>
          </w:p>
        </w:tc>
        <w:tc>
          <w:tcPr>
            <w:tcW w:w="1472" w:type="dxa"/>
            <w:tcBorders/>
            <w:shd w:fill="auto"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(7 092)</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left="-102" w:right="134" w:firstLine="102"/>
              <w:jc w:val="left"/>
              <w:rPr>
                <w:rFonts w:ascii="Cambria" w:hAnsi="Cambria"/>
                <w:sz w:val="18"/>
                <w:szCs w:val="18"/>
              </w:rPr>
            </w:pPr>
            <w:r>
              <w:rPr>
                <w:rFonts w:cs="Calibri" w:ascii="Cambria" w:hAnsi="Cambria"/>
                <w:color w:val="000000"/>
                <w:sz w:val="18"/>
                <w:szCs w:val="18"/>
              </w:rPr>
              <w:t>Доход  (расход) от изменения обменных курсов иностранных валют</w:t>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r>
          </w:p>
        </w:tc>
        <w:tc>
          <w:tcPr>
            <w:tcW w:w="1730" w:type="dxa"/>
            <w:tcBorders>
              <w:bottom w:val="single" w:sz="4" w:space="0" w:color="000000"/>
              <w:insideH w:val="single" w:sz="4" w:space="0" w:color="000000"/>
            </w:tcBorders>
            <w:shd w:fill="auto"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(346)</w:t>
            </w:r>
          </w:p>
        </w:tc>
        <w:tc>
          <w:tcPr>
            <w:tcW w:w="1472" w:type="dxa"/>
            <w:tcBorders>
              <w:bottom w:val="single" w:sz="4" w:space="0" w:color="000000"/>
              <w:insideH w:val="single" w:sz="4" w:space="0" w:color="000000"/>
            </w:tcBorders>
            <w:shd w:fill="auto"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(265)</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9pt"/>
                <w:rFonts w:ascii="Cambria" w:hAnsi="Cambria"/>
                <w:color w:val="auto"/>
              </w:rPr>
            </w:pPr>
            <w:r>
              <w:rPr>
                <w:rStyle w:val="285pt"/>
                <w:rFonts w:ascii="Cambria" w:hAnsi="Cambria"/>
                <w:color w:val="auto"/>
                <w:sz w:val="18"/>
                <w:szCs w:val="18"/>
              </w:rPr>
              <w:t>Прибыль/убыток до налогообложения</w:t>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r>
          </w:p>
        </w:tc>
        <w:tc>
          <w:tcPr>
            <w:tcW w:w="1730" w:type="dxa"/>
            <w:tcBorders>
              <w:top w:val="single" w:sz="4" w:space="0" w:color="000000"/>
              <w:bottom w:val="single" w:sz="4" w:space="0" w:color="000000"/>
              <w:insideH w:val="single" w:sz="4" w:space="0" w:color="000000"/>
            </w:tcBorders>
            <w:shd w:color="auto" w:fill="FFFFFF" w:val="clear"/>
          </w:tcPr>
          <w:p>
            <w:pPr>
              <w:pStyle w:val="210"/>
              <w:shd w:val="clear" w:color="auto" w:fill="auto"/>
              <w:spacing w:lineRule="auto" w:line="240" w:before="0" w:after="0"/>
              <w:ind w:hanging="0"/>
              <w:jc w:val="right"/>
              <w:rPr>
                <w:rFonts w:ascii="Cambria" w:hAnsi="Cambria" w:eastAsia="" w:cs="Calibri" w:eastAsiaTheme="minorEastAsia"/>
                <w:b/>
                <w:b/>
                <w:sz w:val="20"/>
                <w:szCs w:val="20"/>
              </w:rPr>
            </w:pPr>
            <w:r>
              <w:rPr>
                <w:rFonts w:cs="Arial" w:ascii="Cambria" w:hAnsi="Cambria"/>
                <w:b/>
                <w:bCs/>
                <w:sz w:val="18"/>
                <w:szCs w:val="18"/>
              </w:rPr>
              <w:t>203 272</w:t>
            </w:r>
          </w:p>
        </w:tc>
        <w:tc>
          <w:tcPr>
            <w:tcW w:w="1472" w:type="dxa"/>
            <w:tcBorders>
              <w:top w:val="single" w:sz="4" w:space="0" w:color="000000"/>
              <w:bottom w:val="single" w:sz="4" w:space="0" w:color="000000"/>
              <w:insideH w:val="single" w:sz="4" w:space="0" w:color="000000"/>
            </w:tcBorders>
            <w:shd w:color="auto" w:fill="FFFFFF" w:val="clear"/>
          </w:tcPr>
          <w:p>
            <w:pPr>
              <w:pStyle w:val="210"/>
              <w:shd w:val="clear" w:color="auto" w:fill="auto"/>
              <w:spacing w:lineRule="auto" w:line="240" w:before="0" w:after="0"/>
              <w:ind w:hanging="0"/>
              <w:jc w:val="right"/>
              <w:rPr>
                <w:rFonts w:ascii="Cambria" w:hAnsi="Cambria" w:eastAsia="" w:cs="Calibri" w:eastAsiaTheme="minorEastAsia"/>
                <w:b/>
                <w:b/>
                <w:sz w:val="20"/>
                <w:szCs w:val="20"/>
              </w:rPr>
            </w:pPr>
            <w:r>
              <w:rPr>
                <w:rFonts w:cs="Arial" w:ascii="Cambria" w:hAnsi="Cambria"/>
                <w:b/>
                <w:bCs/>
                <w:sz w:val="18"/>
                <w:szCs w:val="18"/>
              </w:rPr>
              <w:t>(55 619)</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left="-102" w:right="134" w:firstLine="102"/>
              <w:jc w:val="left"/>
              <w:rPr>
                <w:rStyle w:val="29pt"/>
                <w:rFonts w:ascii="Cambria" w:hAnsi="Cambria"/>
                <w:color w:val="auto"/>
              </w:rPr>
            </w:pPr>
            <w:r>
              <w:rPr>
                <w:rFonts w:cs="Calibri" w:ascii="Cambria" w:hAnsi="Cambria"/>
                <w:color w:val="000000"/>
                <w:sz w:val="18"/>
                <w:szCs w:val="18"/>
              </w:rPr>
              <w:t>Расходы по налогу на прибыль</w:t>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t>16</w:t>
            </w:r>
          </w:p>
        </w:tc>
        <w:tc>
          <w:tcPr>
            <w:tcW w:w="1730" w:type="dxa"/>
            <w:tcBorders>
              <w:top w:val="single" w:sz="4" w:space="0" w:color="000000"/>
              <w:bottom w:val="double" w:sz="4" w:space="0" w:color="000000"/>
              <w:insideH w:val="doub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bCs/>
                <w:sz w:val="18"/>
                <w:szCs w:val="18"/>
              </w:rPr>
              <w:t>(49 814)</w:t>
            </w:r>
          </w:p>
        </w:tc>
        <w:tc>
          <w:tcPr>
            <w:tcW w:w="1472" w:type="dxa"/>
            <w:tcBorders>
              <w:top w:val="single" w:sz="4" w:space="0" w:color="000000"/>
              <w:bottom w:val="double" w:sz="4" w:space="0" w:color="000000"/>
              <w:insideH w:val="doub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20"/>
                <w:szCs w:val="20"/>
              </w:rPr>
            </w:pPr>
            <w:r>
              <w:rPr>
                <w:rFonts w:cs="Arial" w:ascii="Cambria" w:hAnsi="Cambria"/>
                <w:sz w:val="18"/>
                <w:szCs w:val="18"/>
              </w:rPr>
              <w:t>(6 814)</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Fonts w:ascii="Cambria" w:hAnsi="Cambria"/>
                <w:sz w:val="18"/>
                <w:szCs w:val="18"/>
              </w:rPr>
            </w:pPr>
            <w:r>
              <w:rPr>
                <w:rStyle w:val="285pt"/>
                <w:rFonts w:ascii="Cambria" w:hAnsi="Cambria"/>
                <w:bCs w:val="false"/>
                <w:color w:val="auto"/>
                <w:sz w:val="18"/>
                <w:szCs w:val="18"/>
              </w:rPr>
              <w:t>Прибыль/убыток за период</w:t>
            </w:r>
            <w:r>
              <w:rPr>
                <w:rFonts w:cs="Calibri" w:ascii="Cambria" w:hAnsi="Cambria"/>
                <w:bCs/>
                <w:color w:val="000000"/>
                <w:sz w:val="20"/>
                <w:szCs w:val="20"/>
              </w:rPr>
              <w:t xml:space="preserve"> </w:t>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r>
          </w:p>
        </w:tc>
        <w:tc>
          <w:tcPr>
            <w:tcW w:w="1730" w:type="dxa"/>
            <w:tcBorders/>
            <w:shd w:color="auto" w:fill="FFFFFF" w:val="clear"/>
          </w:tcPr>
          <w:p>
            <w:pPr>
              <w:pStyle w:val="210"/>
              <w:shd w:val="clear" w:color="auto" w:fill="auto"/>
              <w:spacing w:lineRule="auto" w:line="240" w:before="0" w:after="0"/>
              <w:ind w:hanging="0"/>
              <w:jc w:val="right"/>
              <w:rPr>
                <w:rFonts w:ascii="Cambria" w:hAnsi="Cambria" w:eastAsia="" w:cs="Calibri" w:eastAsiaTheme="minorEastAsia"/>
                <w:b/>
                <w:b/>
                <w:sz w:val="20"/>
                <w:szCs w:val="20"/>
              </w:rPr>
            </w:pPr>
            <w:r>
              <w:rPr>
                <w:rFonts w:cs="Arial" w:ascii="Cambria" w:hAnsi="Cambria"/>
                <w:b/>
                <w:bCs/>
                <w:sz w:val="18"/>
                <w:szCs w:val="18"/>
              </w:rPr>
              <w:t>153 457</w:t>
            </w:r>
          </w:p>
        </w:tc>
        <w:tc>
          <w:tcPr>
            <w:tcW w:w="1472" w:type="dxa"/>
            <w:tcBorders/>
            <w:shd w:color="auto" w:fill="FFFFFF" w:val="clear"/>
          </w:tcPr>
          <w:p>
            <w:pPr>
              <w:pStyle w:val="210"/>
              <w:shd w:val="clear" w:color="auto" w:fill="auto"/>
              <w:spacing w:lineRule="auto" w:line="240" w:before="0" w:after="0"/>
              <w:ind w:hanging="0"/>
              <w:jc w:val="right"/>
              <w:rPr>
                <w:rFonts w:ascii="Cambria" w:hAnsi="Cambria" w:eastAsia="" w:cs="Calibri" w:eastAsiaTheme="minorEastAsia"/>
                <w:b/>
                <w:b/>
                <w:sz w:val="20"/>
                <w:szCs w:val="20"/>
              </w:rPr>
            </w:pPr>
            <w:r>
              <w:rPr>
                <w:rFonts w:cs="Arial" w:ascii="Cambria" w:hAnsi="Cambria"/>
                <w:b/>
                <w:bCs/>
                <w:sz w:val="18"/>
                <w:szCs w:val="18"/>
              </w:rPr>
              <w:t>(62 434)</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
                <w:rFonts w:ascii="Cambria" w:hAnsi="Cambria"/>
                <w:color w:val="auto"/>
                <w:sz w:val="18"/>
                <w:szCs w:val="18"/>
              </w:rPr>
            </w:pPr>
            <w:r>
              <w:rPr>
                <w:rFonts w:ascii="Cambria" w:hAnsi="Cambria"/>
                <w:color w:val="auto"/>
                <w:sz w:val="18"/>
                <w:szCs w:val="18"/>
              </w:rPr>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r>
          </w:p>
        </w:tc>
        <w:tc>
          <w:tcPr>
            <w:tcW w:w="1730"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r>
          </w:p>
        </w:tc>
        <w:tc>
          <w:tcPr>
            <w:tcW w:w="1472"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
                <w:rFonts w:ascii="Cambria" w:hAnsi="Cambria"/>
                <w:color w:val="auto"/>
                <w:sz w:val="18"/>
                <w:szCs w:val="18"/>
              </w:rPr>
            </w:pPr>
            <w:r>
              <w:rPr>
                <w:rStyle w:val="285pt"/>
                <w:rFonts w:ascii="Cambria" w:hAnsi="Cambria"/>
                <w:bCs w:val="false"/>
                <w:color w:val="auto"/>
                <w:sz w:val="18"/>
                <w:szCs w:val="18"/>
              </w:rPr>
              <w:t>Прочий совокупный доход</w:t>
            </w:r>
          </w:p>
        </w:tc>
        <w:tc>
          <w:tcPr>
            <w:tcW w:w="1201" w:type="dxa"/>
            <w:tcBorders/>
            <w:shd w:color="auto" w:fill="FFFFFF" w:val="clear"/>
            <w:vAlign w:val="center"/>
          </w:tcPr>
          <w:p>
            <w:pPr>
              <w:pStyle w:val="Normal"/>
              <w:ind w:left="-102" w:right="134" w:firstLine="102"/>
              <w:jc w:val="center"/>
              <w:rPr>
                <w:rFonts w:ascii="Cambria" w:hAnsi="Cambria"/>
                <w:sz w:val="18"/>
                <w:szCs w:val="18"/>
              </w:rPr>
            </w:pPr>
            <w:r>
              <w:rPr>
                <w:rFonts w:ascii="Cambria" w:hAnsi="Cambria"/>
                <w:sz w:val="18"/>
                <w:szCs w:val="18"/>
              </w:rPr>
            </w:r>
          </w:p>
        </w:tc>
        <w:tc>
          <w:tcPr>
            <w:tcW w:w="1730"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t>-</w:t>
            </w:r>
          </w:p>
        </w:tc>
        <w:tc>
          <w:tcPr>
            <w:tcW w:w="1472"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t>-</w:t>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
                <w:rFonts w:ascii="Cambria" w:hAnsi="Cambria"/>
                <w:color w:val="auto"/>
                <w:sz w:val="18"/>
                <w:szCs w:val="18"/>
              </w:rPr>
            </w:pPr>
            <w:r>
              <w:rPr>
                <w:rStyle w:val="285pt"/>
                <w:rFonts w:ascii="Cambria" w:hAnsi="Cambria"/>
                <w:color w:val="auto"/>
                <w:sz w:val="18"/>
                <w:szCs w:val="18"/>
              </w:rPr>
              <w:t>Итого прочий совокупный доход</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r>
          </w:p>
        </w:tc>
        <w:tc>
          <w:tcPr>
            <w:tcW w:w="1730"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t>-</w:t>
            </w:r>
          </w:p>
        </w:tc>
        <w:tc>
          <w:tcPr>
            <w:tcW w:w="1472"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t>-</w:t>
            </w:r>
          </w:p>
        </w:tc>
      </w:tr>
      <w:tr>
        <w:trPr>
          <w:trHeight w:val="191"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
                <w:rFonts w:ascii="Cambria" w:hAnsi="Cambria"/>
                <w:color w:val="auto"/>
                <w:sz w:val="18"/>
                <w:szCs w:val="18"/>
              </w:rPr>
            </w:pPr>
            <w:r>
              <w:rPr>
                <w:rFonts w:ascii="Cambria" w:hAnsi="Cambria"/>
                <w:color w:val="auto"/>
                <w:sz w:val="18"/>
                <w:szCs w:val="18"/>
              </w:rPr>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r>
          </w:p>
        </w:tc>
        <w:tc>
          <w:tcPr>
            <w:tcW w:w="1730"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r>
          </w:p>
        </w:tc>
        <w:tc>
          <w:tcPr>
            <w:tcW w:w="1472"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
                <w:rFonts w:ascii="Cambria" w:hAnsi="Cambria"/>
                <w:color w:val="auto"/>
                <w:sz w:val="18"/>
                <w:szCs w:val="18"/>
              </w:rPr>
            </w:pPr>
            <w:r>
              <w:rPr>
                <w:rStyle w:val="285pt"/>
                <w:rFonts w:ascii="Cambria" w:hAnsi="Cambria"/>
                <w:color w:val="auto"/>
                <w:sz w:val="18"/>
                <w:szCs w:val="18"/>
              </w:rPr>
              <w:t>Общий совокупный результат (прибыль/убыток) причитающийся:</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r>
          </w:p>
        </w:tc>
        <w:tc>
          <w:tcPr>
            <w:tcW w:w="1730"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r>
          </w:p>
        </w:tc>
        <w:tc>
          <w:tcPr>
            <w:tcW w:w="1472"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r>
          </w:p>
        </w:tc>
      </w:tr>
      <w:tr>
        <w:trPr>
          <w:trHeight w:val="283" w:hRule="atLeast"/>
          <w:cantSplit w:val="true"/>
        </w:trPr>
        <w:tc>
          <w:tcPr>
            <w:tcW w:w="5517" w:type="dxa"/>
            <w:tcBorders/>
            <w:shd w:color="auto" w:fill="FFFFFF" w:val="clear"/>
            <w:vAlign w:val="bottom"/>
          </w:tcPr>
          <w:p>
            <w:pPr>
              <w:pStyle w:val="210"/>
              <w:shd w:val="clear" w:color="auto" w:fill="auto"/>
              <w:spacing w:lineRule="auto" w:line="240" w:before="0" w:after="0"/>
              <w:ind w:right="134" w:hanging="0"/>
              <w:jc w:val="left"/>
              <w:rPr>
                <w:rStyle w:val="285pt"/>
                <w:rFonts w:ascii="Cambria" w:hAnsi="Cambria"/>
                <w:b w:val="false"/>
                <w:b w:val="false"/>
                <w:color w:val="auto"/>
                <w:sz w:val="18"/>
                <w:szCs w:val="18"/>
              </w:rPr>
            </w:pPr>
            <w:r>
              <w:rPr>
                <w:rStyle w:val="285pt"/>
                <w:rFonts w:ascii="Cambria" w:hAnsi="Cambria"/>
                <w:b w:val="false"/>
                <w:color w:val="auto"/>
                <w:sz w:val="18"/>
                <w:szCs w:val="18"/>
              </w:rPr>
              <w:t>Акционерам Компании</w:t>
            </w:r>
          </w:p>
        </w:tc>
        <w:tc>
          <w:tcPr>
            <w:tcW w:w="1201" w:type="dxa"/>
            <w:tcBorders/>
            <w:shd w:color="auto" w:fill="FFFFFF" w:val="clear"/>
            <w:vAlign w:val="center"/>
          </w:tcPr>
          <w:p>
            <w:pPr>
              <w:pStyle w:val="210"/>
              <w:shd w:val="clear" w:color="auto" w:fill="auto"/>
              <w:spacing w:lineRule="auto" w:line="240" w:before="0" w:after="0"/>
              <w:ind w:left="-102" w:right="134" w:firstLine="102"/>
              <w:jc w:val="center"/>
              <w:rPr>
                <w:rFonts w:ascii="Cambria" w:hAnsi="Cambria"/>
                <w:sz w:val="18"/>
                <w:szCs w:val="18"/>
              </w:rPr>
            </w:pPr>
            <w:r>
              <w:rPr>
                <w:rFonts w:ascii="Cambria" w:hAnsi="Cambria"/>
                <w:sz w:val="18"/>
                <w:szCs w:val="18"/>
              </w:rPr>
            </w:r>
          </w:p>
        </w:tc>
        <w:tc>
          <w:tcPr>
            <w:tcW w:w="1730"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t xml:space="preserve">                      </w:t>
            </w:r>
            <w:r>
              <w:rPr>
                <w:rFonts w:ascii="Cambria" w:hAnsi="Cambria"/>
                <w:b/>
                <w:sz w:val="18"/>
                <w:szCs w:val="18"/>
              </w:rPr>
              <w:t>153 457</w:t>
            </w:r>
          </w:p>
        </w:tc>
        <w:tc>
          <w:tcPr>
            <w:tcW w:w="1472" w:type="dxa"/>
            <w:tcBorders/>
            <w:shd w:color="auto" w:fill="FFFFFF" w:val="clear"/>
            <w:vAlign w:val="center"/>
          </w:tcPr>
          <w:p>
            <w:pPr>
              <w:pStyle w:val="210"/>
              <w:shd w:val="clear" w:color="auto" w:fill="auto"/>
              <w:spacing w:lineRule="auto" w:line="240" w:before="0" w:after="0"/>
              <w:ind w:left="-102" w:right="134" w:firstLine="102"/>
              <w:jc w:val="right"/>
              <w:rPr>
                <w:rFonts w:ascii="Cambria" w:hAnsi="Cambria"/>
                <w:b/>
                <w:b/>
                <w:sz w:val="18"/>
                <w:szCs w:val="18"/>
              </w:rPr>
            </w:pPr>
            <w:r>
              <w:rPr>
                <w:rFonts w:ascii="Cambria" w:hAnsi="Cambria"/>
                <w:b/>
                <w:sz w:val="18"/>
                <w:szCs w:val="18"/>
              </w:rPr>
              <w:t>(62 434)</w:t>
            </w:r>
          </w:p>
        </w:tc>
      </w:tr>
    </w:tbl>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Настоящая консолидированная финансовая отчетность утверждена руководством 26 апреля 2019 года года. От имени руководства отчетность подписали: </w:t>
      </w:r>
    </w:p>
    <w:p>
      <w:pPr>
        <w:pStyle w:val="Normal"/>
        <w:spacing w:before="120" w:after="120"/>
        <w:ind w:right="136" w:hanging="0"/>
        <w:rPr>
          <w:rFonts w:ascii="Cambria" w:hAnsi="Cambria"/>
          <w:sz w:val="20"/>
          <w:szCs w:val="20"/>
        </w:rPr>
      </w:pPr>
      <w:r>
        <w:rPr>
          <w:rFonts w:ascii="Cambria" w:hAnsi="Cambria"/>
          <w:sz w:val="20"/>
          <w:szCs w:val="20"/>
        </w:rPr>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_______________________ </w:t>
        <w:tab/>
        <w:t xml:space="preserve">            ____________________</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Генеральный директор </w:t>
        <w:tab/>
        <w:t xml:space="preserve">           Главный бухгалтер</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Янин В.И.                                                                                                                        Рыбкина И.Ю.                                                                                                                     </w:t>
      </w:r>
    </w:p>
    <w:p>
      <w:pPr>
        <w:pStyle w:val="Normal"/>
        <w:spacing w:before="120" w:after="120"/>
        <w:ind w:right="136" w:hanging="0"/>
        <w:jc w:val="both"/>
        <w:rPr>
          <w:rFonts w:ascii="Cambria" w:hAnsi="Cambria" w:cs="Arial"/>
          <w:bCs/>
          <w:sz w:val="20"/>
          <w:szCs w:val="20"/>
          <w:lang w:bidi="ar-SA"/>
        </w:rPr>
      </w:pPr>
      <w:r>
        <w:rPr>
          <w:rFonts w:cs="Arial" w:ascii="Cambria" w:hAnsi="Cambria"/>
          <w:bCs/>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t>г. Москва</w:t>
      </w:r>
    </w:p>
    <w:p>
      <w:pPr>
        <w:sectPr>
          <w:headerReference w:type="default" r:id="rId6"/>
          <w:footerReference w:type="default" r:id="rId7"/>
          <w:type w:val="nextPage"/>
          <w:pgSz w:w="11906" w:h="16838"/>
          <w:pgMar w:left="1134" w:right="851" w:header="680" w:top="851" w:footer="680" w:bottom="851" w:gutter="0"/>
          <w:pgNumType w:fmt="decimal"/>
          <w:formProt w:val="false"/>
          <w:textDirection w:val="lrTb"/>
          <w:docGrid w:type="default" w:linePitch="360" w:charSpace="0"/>
        </w:sect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tbl>
      <w:tblPr>
        <w:tblW w:w="11917" w:type="dxa"/>
        <w:jc w:val="left"/>
        <w:tblInd w:w="-10" w:type="dxa"/>
        <w:tblBorders/>
        <w:tblCellMar>
          <w:top w:w="0" w:type="dxa"/>
          <w:left w:w="10" w:type="dxa"/>
          <w:bottom w:w="0" w:type="dxa"/>
          <w:right w:w="10" w:type="dxa"/>
        </w:tblCellMar>
        <w:tblLook w:firstRow="1" w:noVBand="1" w:lastRow="0" w:firstColumn="1" w:lastColumn="0" w:noHBand="0" w:val="04a0"/>
      </w:tblPr>
      <w:tblGrid>
        <w:gridCol w:w="10"/>
        <w:gridCol w:w="3969"/>
        <w:gridCol w:w="2127"/>
        <w:gridCol w:w="1984"/>
        <w:gridCol w:w="1984"/>
        <w:gridCol w:w="1842"/>
      </w:tblGrid>
      <w:tr>
        <w:trPr>
          <w:trHeight w:val="283" w:hRule="atLeast"/>
        </w:trPr>
        <w:tc>
          <w:tcPr>
            <w:tcW w:w="3979" w:type="dxa"/>
            <w:gridSpan w:val="2"/>
            <w:tcBorders/>
            <w:shd w:color="auto" w:fill="FFFFFF" w:val="clear"/>
          </w:tcPr>
          <w:p>
            <w:pPr>
              <w:pStyle w:val="Normal"/>
              <w:ind w:right="134" w:hanging="0"/>
              <w:rPr>
                <w:rFonts w:ascii="Cambria" w:hAnsi="Cambria"/>
                <w:sz w:val="18"/>
                <w:szCs w:val="18"/>
              </w:rPr>
            </w:pPr>
            <w:r>
              <w:rPr>
                <w:rFonts w:ascii="Cambria" w:hAnsi="Cambria"/>
                <w:sz w:val="18"/>
                <w:szCs w:val="18"/>
              </w:rPr>
            </w:r>
          </w:p>
        </w:tc>
        <w:tc>
          <w:tcPr>
            <w:tcW w:w="2127" w:type="dxa"/>
            <w:tcBorders/>
            <w:shd w:color="auto" w:fill="FFFFFF" w:val="clear"/>
            <w:vAlign w:val="center"/>
          </w:tcPr>
          <w:p>
            <w:pPr>
              <w:pStyle w:val="210"/>
              <w:shd w:val="clear" w:color="auto" w:fill="auto"/>
              <w:spacing w:lineRule="auto" w:line="240" w:before="0" w:after="0"/>
              <w:ind w:right="134" w:hanging="0"/>
              <w:jc w:val="center"/>
              <w:rPr>
                <w:rFonts w:ascii="Cambria" w:hAnsi="Cambria"/>
                <w:sz w:val="18"/>
                <w:szCs w:val="18"/>
              </w:rPr>
            </w:pPr>
            <w:r>
              <w:rPr>
                <w:rStyle w:val="265pt"/>
                <w:rFonts w:ascii="Cambria" w:hAnsi="Cambria"/>
                <w:color w:val="auto"/>
                <w:sz w:val="18"/>
                <w:szCs w:val="18"/>
              </w:rPr>
              <w:t>Уставный капитал</w:t>
            </w:r>
          </w:p>
        </w:tc>
        <w:tc>
          <w:tcPr>
            <w:tcW w:w="1984" w:type="dxa"/>
            <w:tcBorders/>
            <w:shd w:color="auto" w:fill="FFFFFF" w:val="clear"/>
          </w:tcPr>
          <w:p>
            <w:pPr>
              <w:pStyle w:val="210"/>
              <w:shd w:val="clear" w:color="auto" w:fill="auto"/>
              <w:spacing w:lineRule="auto" w:line="240" w:before="0" w:after="0"/>
              <w:ind w:right="134" w:hanging="0"/>
              <w:jc w:val="center"/>
              <w:rPr>
                <w:rStyle w:val="265pt"/>
                <w:rFonts w:ascii="Cambria" w:hAnsi="Cambria"/>
                <w:color w:val="auto"/>
                <w:sz w:val="18"/>
                <w:szCs w:val="18"/>
              </w:rPr>
            </w:pPr>
            <w:r>
              <w:rPr>
                <w:rStyle w:val="265pt"/>
                <w:rFonts w:ascii="Cambria" w:hAnsi="Cambria"/>
                <w:color w:val="auto"/>
                <w:sz w:val="18"/>
                <w:szCs w:val="18"/>
              </w:rPr>
              <w:t>Резервный капитал</w:t>
            </w:r>
          </w:p>
        </w:tc>
        <w:tc>
          <w:tcPr>
            <w:tcW w:w="1984" w:type="dxa"/>
            <w:tcBorders/>
            <w:shd w:color="auto" w:fill="FFFFFF" w:val="clear"/>
            <w:vAlign w:val="center"/>
          </w:tcPr>
          <w:p>
            <w:pPr>
              <w:pStyle w:val="210"/>
              <w:shd w:val="clear" w:color="auto" w:fill="auto"/>
              <w:spacing w:lineRule="auto" w:line="240" w:before="0" w:after="0"/>
              <w:ind w:right="134" w:hanging="0"/>
              <w:jc w:val="center"/>
              <w:rPr>
                <w:rFonts w:ascii="Cambria" w:hAnsi="Cambria"/>
                <w:sz w:val="18"/>
                <w:szCs w:val="18"/>
              </w:rPr>
            </w:pPr>
            <w:r>
              <w:rPr>
                <w:rStyle w:val="265pt"/>
                <w:rFonts w:ascii="Cambria" w:hAnsi="Cambria"/>
                <w:color w:val="auto"/>
                <w:sz w:val="18"/>
                <w:szCs w:val="18"/>
              </w:rPr>
              <w:t>Нераспределенная прибыль</w:t>
            </w:r>
          </w:p>
        </w:tc>
        <w:tc>
          <w:tcPr>
            <w:tcW w:w="1842" w:type="dxa"/>
            <w:tcBorders/>
            <w:shd w:color="auto" w:fill="FFFFFF" w:val="clear"/>
            <w:vAlign w:val="center"/>
          </w:tcPr>
          <w:p>
            <w:pPr>
              <w:pStyle w:val="Normal"/>
              <w:ind w:right="134" w:hanging="0"/>
              <w:jc w:val="center"/>
              <w:rPr>
                <w:rStyle w:val="265pt"/>
                <w:rFonts w:ascii="Cambria" w:hAnsi="Cambria" w:eastAsia="Arial Unicode MS"/>
                <w:color w:val="auto"/>
                <w:sz w:val="18"/>
                <w:szCs w:val="18"/>
              </w:rPr>
            </w:pPr>
            <w:r>
              <w:rPr>
                <w:rStyle w:val="265pt"/>
                <w:rFonts w:eastAsia="Arial Unicode MS" w:ascii="Cambria" w:hAnsi="Cambria"/>
                <w:color w:val="auto"/>
                <w:sz w:val="18"/>
                <w:szCs w:val="18"/>
              </w:rPr>
              <w:t xml:space="preserve">Итого </w:t>
            </w:r>
          </w:p>
        </w:tc>
      </w:tr>
      <w:tr>
        <w:trPr>
          <w:trHeight w:val="283" w:hRule="atLeast"/>
        </w:trPr>
        <w:tc>
          <w:tcPr>
            <w:tcW w:w="3979" w:type="dxa"/>
            <w:gridSpan w:val="2"/>
            <w:tcBorders/>
            <w:shd w:color="auto" w:fill="FFFFFF" w:val="clear"/>
            <w:vAlign w:val="center"/>
          </w:tcPr>
          <w:p>
            <w:pPr>
              <w:pStyle w:val="210"/>
              <w:shd w:val="clear" w:color="auto" w:fill="auto"/>
              <w:spacing w:lineRule="auto" w:line="240" w:before="0" w:after="0"/>
              <w:ind w:left="-102" w:right="134" w:firstLine="102"/>
              <w:jc w:val="left"/>
              <w:rPr>
                <w:rStyle w:val="285pt"/>
                <w:rFonts w:ascii="Cambria" w:hAnsi="Cambria"/>
                <w:color w:val="auto"/>
                <w:sz w:val="18"/>
                <w:szCs w:val="18"/>
              </w:rPr>
            </w:pPr>
            <w:r>
              <w:rPr>
                <w:rFonts w:cs="Calibri" w:ascii="Cambria" w:hAnsi="Cambria"/>
                <w:b/>
                <w:bCs/>
                <w:sz w:val="18"/>
                <w:szCs w:val="18"/>
              </w:rPr>
              <w:t xml:space="preserve"> </w:t>
            </w:r>
            <w:r>
              <w:rPr>
                <w:rFonts w:cs="Calibri" w:ascii="Cambria" w:hAnsi="Cambria"/>
                <w:b/>
                <w:bCs/>
                <w:sz w:val="18"/>
                <w:szCs w:val="18"/>
              </w:rPr>
              <w:t xml:space="preserve">Остаток на 01.01.2017 </w:t>
            </w:r>
          </w:p>
        </w:tc>
        <w:tc>
          <w:tcPr>
            <w:tcW w:w="2127" w:type="dxa"/>
            <w:tcBorders>
              <w:bottom w:val="single" w:sz="4" w:space="0" w:color="000000"/>
              <w:insideH w:val="single" w:sz="4" w:space="0" w:color="000000"/>
            </w:tcBorders>
            <w:shd w:color="auto" w:fill="FFFFFF"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118 000 </w:t>
            </w:r>
          </w:p>
        </w:tc>
        <w:tc>
          <w:tcPr>
            <w:tcW w:w="1984" w:type="dxa"/>
            <w:tcBorders>
              <w:bottom w:val="single" w:sz="4" w:space="0" w:color="000000"/>
              <w:insideH w:val="single" w:sz="4" w:space="0" w:color="000000"/>
            </w:tcBorders>
            <w:shd w:color="auto" w:fill="FFFFFF"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12 000 </w:t>
            </w:r>
          </w:p>
        </w:tc>
        <w:tc>
          <w:tcPr>
            <w:tcW w:w="1984" w:type="dxa"/>
            <w:tcBorders>
              <w:bottom w:val="single" w:sz="4" w:space="0" w:color="000000"/>
              <w:insideH w:val="single" w:sz="4" w:space="0" w:color="000000"/>
            </w:tcBorders>
            <w:shd w:color="auto" w:fill="FFFFFF"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4 027 052 </w:t>
            </w:r>
          </w:p>
        </w:tc>
        <w:tc>
          <w:tcPr>
            <w:tcW w:w="1842" w:type="dxa"/>
            <w:tcBorders>
              <w:bottom w:val="single" w:sz="4" w:space="0" w:color="000000"/>
              <w:insideH w:val="single" w:sz="4" w:space="0" w:color="000000"/>
            </w:tcBorders>
            <w:shd w:color="auto" w:fill="FFFFFF"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4 157 052 </w:t>
            </w:r>
          </w:p>
        </w:tc>
      </w:tr>
      <w:tr>
        <w:trPr>
          <w:trHeight w:val="297" w:hRule="atLeast"/>
        </w:trPr>
        <w:tc>
          <w:tcPr>
            <w:tcW w:w="3979" w:type="dxa"/>
            <w:gridSpan w:val="2"/>
            <w:tcBorders/>
            <w:shd w:color="auto" w:fill="FFFFFF" w:val="clear"/>
            <w:vAlign w:val="center"/>
          </w:tcPr>
          <w:p>
            <w:pPr>
              <w:pStyle w:val="210"/>
              <w:shd w:val="clear" w:color="auto" w:fill="auto"/>
              <w:spacing w:lineRule="auto" w:line="240" w:before="0" w:after="0"/>
              <w:ind w:left="-102" w:right="134" w:firstLine="102"/>
              <w:jc w:val="left"/>
              <w:rPr>
                <w:rStyle w:val="285pt"/>
                <w:rFonts w:ascii="Cambria" w:hAnsi="Cambria"/>
                <w:b w:val="false"/>
                <w:b w:val="false"/>
                <w:color w:val="auto"/>
                <w:sz w:val="18"/>
                <w:szCs w:val="18"/>
              </w:rPr>
            </w:pPr>
            <w:r>
              <w:rPr>
                <w:rFonts w:cs="Calibri" w:ascii="Cambria" w:hAnsi="Cambria"/>
                <w:sz w:val="18"/>
                <w:szCs w:val="18"/>
              </w:rPr>
              <w:t xml:space="preserve"> </w:t>
            </w:r>
            <w:r>
              <w:rPr>
                <w:rFonts w:cs="Calibri" w:ascii="Cambria" w:hAnsi="Cambria"/>
                <w:sz w:val="18"/>
                <w:szCs w:val="18"/>
              </w:rPr>
              <w:t xml:space="preserve">Прибыль/(убыток) за период </w:t>
            </w:r>
          </w:p>
        </w:tc>
        <w:tc>
          <w:tcPr>
            <w:tcW w:w="2127" w:type="dxa"/>
            <w:tcBorders>
              <w:top w:val="single" w:sz="4" w:space="0" w:color="000000"/>
            </w:tcBorders>
            <w:shd w:color="auto" w:fill="FFFFFF" w:val="clear"/>
            <w:vAlign w:val="center"/>
          </w:tcPr>
          <w:p>
            <w:pPr>
              <w:pStyle w:val="Normal"/>
              <w:jc w:val="right"/>
              <w:rPr>
                <w:rFonts w:ascii="Cambria" w:hAnsi="Cambria" w:cs="Calibri"/>
                <w:sz w:val="18"/>
                <w:szCs w:val="18"/>
              </w:rPr>
            </w:pPr>
            <w:r>
              <w:rPr>
                <w:rFonts w:cs="Calibri" w:ascii="Cambria" w:hAnsi="Cambria"/>
                <w:sz w:val="18"/>
                <w:szCs w:val="18"/>
              </w:rPr>
            </w:r>
          </w:p>
        </w:tc>
        <w:tc>
          <w:tcPr>
            <w:tcW w:w="1984" w:type="dxa"/>
            <w:tcBorders>
              <w:top w:val="single" w:sz="4" w:space="0" w:color="000000"/>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eastAsia="" w:cs="Calibri" w:eastAsiaTheme="minorEastAsia" w:ascii="Cambria" w:hAnsi="Cambria"/>
                <w:sz w:val="18"/>
                <w:szCs w:val="18"/>
              </w:rPr>
            </w:r>
          </w:p>
        </w:tc>
        <w:tc>
          <w:tcPr>
            <w:tcW w:w="1984" w:type="dxa"/>
            <w:tcBorders>
              <w:top w:val="single" w:sz="4" w:space="0" w:color="000000"/>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cs="Calibri" w:ascii="Cambria" w:hAnsi="Cambria"/>
                <w:sz w:val="18"/>
                <w:szCs w:val="18"/>
              </w:rPr>
              <w:t xml:space="preserve">                    </w:t>
            </w:r>
            <w:r>
              <w:rPr>
                <w:rFonts w:cs="Calibri" w:ascii="Cambria" w:hAnsi="Cambria"/>
                <w:sz w:val="18"/>
                <w:szCs w:val="18"/>
              </w:rPr>
              <w:t>(62 434)</w:t>
            </w:r>
          </w:p>
        </w:tc>
        <w:tc>
          <w:tcPr>
            <w:tcW w:w="1842" w:type="dxa"/>
            <w:tcBorders>
              <w:top w:val="single" w:sz="4" w:space="0" w:color="000000"/>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b/>
                <w:b/>
                <w:sz w:val="18"/>
                <w:szCs w:val="18"/>
              </w:rPr>
            </w:pPr>
            <w:r>
              <w:rPr>
                <w:rFonts w:cs="Calibri" w:ascii="Cambria" w:hAnsi="Cambria"/>
                <w:sz w:val="18"/>
                <w:szCs w:val="18"/>
              </w:rPr>
              <w:t xml:space="preserve">               </w:t>
            </w:r>
            <w:r>
              <w:rPr>
                <w:rFonts w:cs="Calibri" w:ascii="Cambria" w:hAnsi="Cambria"/>
                <w:sz w:val="18"/>
                <w:szCs w:val="18"/>
              </w:rPr>
              <w:t>(62 434)</w:t>
            </w:r>
          </w:p>
        </w:tc>
      </w:tr>
      <w:tr>
        <w:trPr>
          <w:trHeight w:val="321" w:hRule="atLeast"/>
        </w:trPr>
        <w:tc>
          <w:tcPr>
            <w:tcW w:w="3979" w:type="dxa"/>
            <w:gridSpan w:val="2"/>
            <w:tcBorders/>
            <w:shd w:color="auto" w:fill="FFFFFF" w:val="clear"/>
            <w:vAlign w:val="center"/>
          </w:tcPr>
          <w:p>
            <w:pPr>
              <w:pStyle w:val="210"/>
              <w:shd w:val="clear" w:color="auto" w:fill="auto"/>
              <w:spacing w:lineRule="auto" w:line="240" w:before="0" w:after="0"/>
              <w:ind w:left="-102" w:right="134" w:firstLine="102"/>
              <w:jc w:val="left"/>
              <w:rPr>
                <w:rStyle w:val="285pt"/>
                <w:rFonts w:ascii="Cambria" w:hAnsi="Cambria"/>
                <w:b w:val="false"/>
                <w:b w:val="false"/>
                <w:color w:val="auto"/>
                <w:sz w:val="18"/>
                <w:szCs w:val="18"/>
              </w:rPr>
            </w:pPr>
            <w:r>
              <w:rPr>
                <w:rFonts w:cs="Calibri" w:ascii="Cambria" w:hAnsi="Cambria"/>
                <w:sz w:val="18"/>
                <w:szCs w:val="18"/>
              </w:rPr>
              <w:t xml:space="preserve"> </w:t>
            </w:r>
            <w:r>
              <w:rPr>
                <w:rFonts w:cs="Calibri" w:ascii="Cambria" w:hAnsi="Cambria"/>
                <w:sz w:val="18"/>
                <w:szCs w:val="18"/>
              </w:rPr>
              <w:t xml:space="preserve">Дивиденды </w:t>
            </w:r>
          </w:p>
        </w:tc>
        <w:tc>
          <w:tcPr>
            <w:tcW w:w="2127" w:type="dxa"/>
            <w:tcBorders/>
            <w:shd w:color="auto" w:fill="FFFFFF" w:val="clear"/>
            <w:vAlign w:val="center"/>
          </w:tcPr>
          <w:p>
            <w:pPr>
              <w:pStyle w:val="Normal"/>
              <w:jc w:val="right"/>
              <w:rPr>
                <w:rFonts w:ascii="Cambria" w:hAnsi="Cambria" w:cs="Calibri"/>
                <w:sz w:val="18"/>
                <w:szCs w:val="18"/>
              </w:rPr>
            </w:pPr>
            <w:r>
              <w:rPr>
                <w:rFonts w:cs="Calibri" w:ascii="Cambria" w:hAnsi="Cambria"/>
                <w:sz w:val="18"/>
                <w:szCs w:val="18"/>
              </w:rPr>
            </w:r>
          </w:p>
        </w:tc>
        <w:tc>
          <w:tcPr>
            <w:tcW w:w="1984" w:type="dxa"/>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eastAsia="" w:cs="Calibri" w:eastAsiaTheme="minorEastAsia" w:ascii="Cambria" w:hAnsi="Cambria"/>
                <w:sz w:val="18"/>
                <w:szCs w:val="18"/>
              </w:rPr>
            </w:r>
          </w:p>
        </w:tc>
        <w:tc>
          <w:tcPr>
            <w:tcW w:w="1984" w:type="dxa"/>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cs="Calibri" w:ascii="Cambria" w:hAnsi="Cambria"/>
                <w:sz w:val="18"/>
                <w:szCs w:val="18"/>
              </w:rPr>
              <w:t xml:space="preserve">                    </w:t>
            </w:r>
            <w:r>
              <w:rPr>
                <w:rFonts w:cs="Calibri" w:ascii="Cambria" w:hAnsi="Cambria"/>
                <w:sz w:val="18"/>
                <w:szCs w:val="18"/>
              </w:rPr>
              <w:t>(29 500)</w:t>
            </w:r>
          </w:p>
        </w:tc>
        <w:tc>
          <w:tcPr>
            <w:tcW w:w="1842" w:type="dxa"/>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b/>
                <w:b/>
                <w:sz w:val="18"/>
                <w:szCs w:val="18"/>
              </w:rPr>
            </w:pPr>
            <w:r>
              <w:rPr>
                <w:rFonts w:cs="Calibri" w:ascii="Cambria" w:hAnsi="Cambria"/>
                <w:sz w:val="18"/>
                <w:szCs w:val="18"/>
              </w:rPr>
              <w:t xml:space="preserve">               </w:t>
            </w:r>
            <w:r>
              <w:rPr>
                <w:rFonts w:cs="Calibri" w:ascii="Cambria" w:hAnsi="Cambria"/>
                <w:sz w:val="18"/>
                <w:szCs w:val="18"/>
              </w:rPr>
              <w:t>(29 500)</w:t>
            </w:r>
          </w:p>
        </w:tc>
      </w:tr>
      <w:tr>
        <w:trPr>
          <w:trHeight w:val="397" w:hRule="atLeast"/>
        </w:trPr>
        <w:tc>
          <w:tcPr>
            <w:tcW w:w="3979" w:type="dxa"/>
            <w:gridSpan w:val="2"/>
            <w:tcBorders/>
            <w:shd w:color="auto" w:fill="FFFFFF" w:val="clear"/>
            <w:vAlign w:val="center"/>
          </w:tcPr>
          <w:p>
            <w:pPr>
              <w:pStyle w:val="210"/>
              <w:shd w:val="clear" w:color="auto" w:fill="auto"/>
              <w:spacing w:lineRule="auto" w:line="240" w:before="0" w:after="0"/>
              <w:ind w:left="-102" w:right="134" w:firstLine="102"/>
              <w:jc w:val="left"/>
              <w:rPr>
                <w:rStyle w:val="285pt"/>
                <w:rFonts w:ascii="Cambria" w:hAnsi="Cambria"/>
                <w:b w:val="false"/>
                <w:b w:val="false"/>
                <w:color w:val="auto"/>
                <w:sz w:val="18"/>
                <w:szCs w:val="18"/>
              </w:rPr>
            </w:pPr>
            <w:r>
              <w:rPr>
                <w:rFonts w:cs="Calibri" w:ascii="Cambria" w:hAnsi="Cambria"/>
                <w:sz w:val="18"/>
                <w:szCs w:val="18"/>
              </w:rPr>
              <w:t xml:space="preserve"> </w:t>
            </w:r>
            <w:r>
              <w:rPr>
                <w:rFonts w:cs="Calibri" w:ascii="Cambria" w:hAnsi="Cambria"/>
                <w:sz w:val="18"/>
                <w:szCs w:val="18"/>
              </w:rPr>
              <w:t xml:space="preserve">Прочее использование прибыли </w:t>
            </w:r>
          </w:p>
        </w:tc>
        <w:tc>
          <w:tcPr>
            <w:tcW w:w="2127" w:type="dxa"/>
            <w:tcBorders>
              <w:bottom w:val="single" w:sz="4" w:space="0" w:color="000000"/>
              <w:insideH w:val="single" w:sz="4" w:space="0" w:color="000000"/>
            </w:tcBorders>
            <w:shd w:color="auto" w:fill="FFFFFF" w:val="clear"/>
            <w:vAlign w:val="center"/>
          </w:tcPr>
          <w:p>
            <w:pPr>
              <w:pStyle w:val="Normal"/>
              <w:jc w:val="right"/>
              <w:rPr>
                <w:rFonts w:ascii="Cambria" w:hAnsi="Cambria" w:cs="Calibri"/>
                <w:sz w:val="18"/>
                <w:szCs w:val="18"/>
              </w:rPr>
            </w:pPr>
            <w:r>
              <w:rPr>
                <w:rFonts w:cs="Calibri" w:ascii="Cambria" w:hAnsi="Cambria"/>
                <w:sz w:val="18"/>
                <w:szCs w:val="18"/>
              </w:rPr>
            </w:r>
          </w:p>
        </w:tc>
        <w:tc>
          <w:tcPr>
            <w:tcW w:w="1984" w:type="dxa"/>
            <w:tcBorders>
              <w:bottom w:val="single" w:sz="4" w:space="0" w:color="000000"/>
              <w:insideH w:val="single" w:sz="4" w:space="0" w:color="000000"/>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eastAsia="" w:cs="Calibri" w:eastAsiaTheme="minorEastAsia" w:ascii="Cambria" w:hAnsi="Cambria"/>
                <w:sz w:val="18"/>
                <w:szCs w:val="18"/>
              </w:rPr>
            </w:r>
          </w:p>
        </w:tc>
        <w:tc>
          <w:tcPr>
            <w:tcW w:w="1984" w:type="dxa"/>
            <w:tcBorders>
              <w:bottom w:val="single" w:sz="4" w:space="0" w:color="000000"/>
              <w:insideH w:val="single" w:sz="4" w:space="0" w:color="000000"/>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cs="Calibri" w:ascii="Cambria" w:hAnsi="Cambria"/>
                <w:sz w:val="18"/>
                <w:szCs w:val="18"/>
              </w:rPr>
              <w:t xml:space="preserve">                    </w:t>
            </w:r>
            <w:r>
              <w:rPr>
                <w:rFonts w:cs="Calibri" w:ascii="Cambria" w:hAnsi="Cambria"/>
                <w:sz w:val="18"/>
                <w:szCs w:val="18"/>
              </w:rPr>
              <w:t>(52 376)</w:t>
            </w:r>
          </w:p>
        </w:tc>
        <w:tc>
          <w:tcPr>
            <w:tcW w:w="1842" w:type="dxa"/>
            <w:tcBorders>
              <w:bottom w:val="single" w:sz="4" w:space="0" w:color="000000"/>
              <w:insideH w:val="single" w:sz="4" w:space="0" w:color="000000"/>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b/>
                <w:b/>
                <w:sz w:val="18"/>
                <w:szCs w:val="18"/>
              </w:rPr>
            </w:pPr>
            <w:r>
              <w:rPr>
                <w:rFonts w:cs="Calibri" w:ascii="Cambria" w:hAnsi="Cambria"/>
                <w:sz w:val="18"/>
                <w:szCs w:val="18"/>
              </w:rPr>
              <w:t xml:space="preserve">               </w:t>
            </w:r>
            <w:r>
              <w:rPr>
                <w:rFonts w:cs="Calibri" w:ascii="Cambria" w:hAnsi="Cambria"/>
                <w:sz w:val="18"/>
                <w:szCs w:val="18"/>
              </w:rPr>
              <w:t>(52 376)</w:t>
            </w:r>
          </w:p>
        </w:tc>
      </w:tr>
      <w:tr>
        <w:trPr>
          <w:trHeight w:val="283" w:hRule="atLeast"/>
        </w:trPr>
        <w:tc>
          <w:tcPr>
            <w:tcW w:w="3979" w:type="dxa"/>
            <w:gridSpan w:val="2"/>
            <w:tcBorders/>
            <w:shd w:color="auto" w:fill="FFFFFF" w:val="clear"/>
            <w:vAlign w:val="center"/>
          </w:tcPr>
          <w:p>
            <w:pPr>
              <w:pStyle w:val="210"/>
              <w:shd w:val="clear" w:color="auto" w:fill="auto"/>
              <w:spacing w:lineRule="auto" w:line="240" w:before="0" w:after="0"/>
              <w:ind w:left="-102" w:right="134" w:firstLine="102"/>
              <w:jc w:val="left"/>
              <w:rPr>
                <w:rStyle w:val="285pt"/>
                <w:rFonts w:ascii="Cambria" w:hAnsi="Cambria"/>
                <w:color w:val="auto"/>
                <w:sz w:val="18"/>
                <w:szCs w:val="18"/>
              </w:rPr>
            </w:pPr>
            <w:r>
              <w:rPr>
                <w:rFonts w:cs="Calibri" w:ascii="Cambria" w:hAnsi="Cambria"/>
                <w:b/>
                <w:bCs/>
                <w:sz w:val="18"/>
                <w:szCs w:val="18"/>
              </w:rPr>
              <w:t xml:space="preserve"> </w:t>
            </w:r>
            <w:r>
              <w:rPr>
                <w:rFonts w:cs="Calibri" w:ascii="Cambria" w:hAnsi="Cambria"/>
                <w:b/>
                <w:bCs/>
                <w:sz w:val="18"/>
                <w:szCs w:val="18"/>
              </w:rPr>
              <w:t xml:space="preserve">Остаток на 31.12.2017 </w:t>
            </w:r>
          </w:p>
        </w:tc>
        <w:tc>
          <w:tcPr>
            <w:tcW w:w="2127" w:type="dxa"/>
            <w:tcBorders>
              <w:top w:val="single" w:sz="4" w:space="0" w:color="000000"/>
              <w:bottom w:val="single" w:sz="4" w:space="0" w:color="000000"/>
              <w:insideH w:val="single" w:sz="4" w:space="0" w:color="000000"/>
            </w:tcBorders>
            <w:shd w:color="auto" w:fill="FFFFFF"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118 000 </w:t>
            </w:r>
          </w:p>
        </w:tc>
        <w:tc>
          <w:tcPr>
            <w:tcW w:w="1984" w:type="dxa"/>
            <w:tcBorders>
              <w:top w:val="single" w:sz="4" w:space="0" w:color="000000"/>
              <w:bottom w:val="single" w:sz="4" w:space="0" w:color="000000"/>
              <w:insideH w:val="single" w:sz="4" w:space="0" w:color="000000"/>
            </w:tcBorders>
            <w:shd w:color="auto" w:fill="FFFFFF"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12 000 </w:t>
            </w:r>
          </w:p>
        </w:tc>
        <w:tc>
          <w:tcPr>
            <w:tcW w:w="1984" w:type="dxa"/>
            <w:tcBorders>
              <w:top w:val="single" w:sz="4" w:space="0" w:color="000000"/>
              <w:bottom w:val="single" w:sz="4" w:space="0" w:color="000000"/>
              <w:insideH w:val="single" w:sz="4" w:space="0" w:color="000000"/>
            </w:tcBorders>
            <w:shd w:color="auto" w:fill="FFFFFF"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3 847 007 </w:t>
            </w:r>
          </w:p>
        </w:tc>
        <w:tc>
          <w:tcPr>
            <w:tcW w:w="1842" w:type="dxa"/>
            <w:tcBorders>
              <w:top w:val="single" w:sz="4" w:space="0" w:color="000000"/>
              <w:bottom w:val="single" w:sz="4" w:space="0" w:color="000000"/>
              <w:insideH w:val="single" w:sz="4" w:space="0" w:color="000000"/>
            </w:tcBorders>
            <w:shd w:color="auto" w:fill="FFFFFF"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3 977 007 </w:t>
            </w:r>
          </w:p>
        </w:tc>
      </w:tr>
      <w:tr>
        <w:trPr>
          <w:trHeight w:val="283" w:hRule="atLeast"/>
        </w:trPr>
        <w:tc>
          <w:tcPr>
            <w:tcW w:w="3979" w:type="dxa"/>
            <w:gridSpan w:val="2"/>
            <w:tcBorders/>
            <w:shd w:color="auto" w:fill="FFFFFF" w:val="clear"/>
            <w:vAlign w:val="center"/>
          </w:tcPr>
          <w:p>
            <w:pPr>
              <w:pStyle w:val="210"/>
              <w:shd w:val="clear" w:color="auto" w:fill="auto"/>
              <w:spacing w:lineRule="auto" w:line="240" w:before="0" w:after="0"/>
              <w:ind w:left="-102" w:right="134" w:firstLine="102"/>
              <w:jc w:val="left"/>
              <w:rPr>
                <w:rStyle w:val="285pt"/>
                <w:rFonts w:ascii="Cambria" w:hAnsi="Cambria"/>
                <w:color w:val="auto"/>
                <w:sz w:val="18"/>
                <w:szCs w:val="18"/>
              </w:rPr>
            </w:pPr>
            <w:r>
              <w:rPr>
                <w:rFonts w:ascii="Cambria" w:hAnsi="Cambria"/>
                <w:color w:val="auto"/>
                <w:sz w:val="18"/>
                <w:szCs w:val="18"/>
              </w:rPr>
            </w:r>
          </w:p>
        </w:tc>
        <w:tc>
          <w:tcPr>
            <w:tcW w:w="2127" w:type="dxa"/>
            <w:tcBorders>
              <w:top w:val="single" w:sz="4" w:space="0" w:color="000000"/>
            </w:tcBorders>
            <w:shd w:color="auto" w:fill="FFFFFF" w:val="clear"/>
            <w:vAlign w:val="bottom"/>
          </w:tcPr>
          <w:p>
            <w:pPr>
              <w:pStyle w:val="Normal"/>
              <w:jc w:val="right"/>
              <w:rPr>
                <w:rFonts w:ascii="Cambria" w:hAnsi="Cambria" w:cs="Calibri"/>
                <w:b/>
                <w:b/>
                <w:sz w:val="18"/>
                <w:szCs w:val="18"/>
              </w:rPr>
            </w:pPr>
            <w:r>
              <w:rPr>
                <w:rFonts w:cs="Calibri" w:ascii="Cambria" w:hAnsi="Cambria"/>
                <w:b/>
                <w:sz w:val="18"/>
                <w:szCs w:val="18"/>
              </w:rPr>
            </w:r>
          </w:p>
        </w:tc>
        <w:tc>
          <w:tcPr>
            <w:tcW w:w="1984" w:type="dxa"/>
            <w:tcBorders>
              <w:top w:val="sing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b/>
                <w:b/>
                <w:sz w:val="18"/>
                <w:szCs w:val="18"/>
              </w:rPr>
            </w:pPr>
            <w:r>
              <w:rPr>
                <w:rFonts w:eastAsia="" w:cs="Calibri" w:eastAsiaTheme="minorEastAsia" w:ascii="Cambria" w:hAnsi="Cambria"/>
                <w:b/>
                <w:sz w:val="18"/>
                <w:szCs w:val="18"/>
              </w:rPr>
            </w:r>
          </w:p>
        </w:tc>
        <w:tc>
          <w:tcPr>
            <w:tcW w:w="1984" w:type="dxa"/>
            <w:tcBorders>
              <w:top w:val="sing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b/>
                <w:b/>
                <w:sz w:val="18"/>
                <w:szCs w:val="18"/>
              </w:rPr>
            </w:pPr>
            <w:r>
              <w:rPr>
                <w:rFonts w:cs="Calibri" w:ascii="Cambria" w:hAnsi="Cambria"/>
                <w:color w:val="FF0000"/>
                <w:sz w:val="18"/>
                <w:szCs w:val="18"/>
              </w:rPr>
              <w:t xml:space="preserve">                                </w:t>
            </w:r>
            <w:r>
              <w:rPr>
                <w:rFonts w:cs="Calibri" w:ascii="Cambria" w:hAnsi="Cambria"/>
                <w:color w:val="FF0000"/>
                <w:sz w:val="18"/>
                <w:szCs w:val="18"/>
              </w:rPr>
              <w:t xml:space="preserve">- </w:t>
            </w:r>
          </w:p>
        </w:tc>
        <w:tc>
          <w:tcPr>
            <w:tcW w:w="1842" w:type="dxa"/>
            <w:tcBorders>
              <w:top w:val="single" w:sz="4" w:space="0" w:color="000000"/>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b/>
                <w:b/>
                <w:sz w:val="18"/>
                <w:szCs w:val="18"/>
              </w:rPr>
            </w:pPr>
            <w:r>
              <w:rPr>
                <w:rFonts w:eastAsia="" w:cs="Calibri" w:eastAsiaTheme="minorEastAsia" w:ascii="Cambria" w:hAnsi="Cambria"/>
                <w:b/>
                <w:sz w:val="18"/>
                <w:szCs w:val="18"/>
              </w:rPr>
            </w:r>
          </w:p>
        </w:tc>
      </w:tr>
      <w:tr>
        <w:trPr>
          <w:trHeight w:val="283" w:hRule="atLeast"/>
        </w:trPr>
        <w:tc>
          <w:tcPr>
            <w:tcW w:w="3979" w:type="dxa"/>
            <w:gridSpan w:val="2"/>
            <w:tcBorders/>
            <w:shd w:color="auto" w:fill="FFFFFF" w:val="clear"/>
            <w:vAlign w:val="center"/>
          </w:tcPr>
          <w:p>
            <w:pPr>
              <w:pStyle w:val="210"/>
              <w:shd w:val="clear" w:color="auto" w:fill="auto"/>
              <w:spacing w:lineRule="auto" w:line="240" w:before="0" w:after="0"/>
              <w:ind w:left="-102" w:right="134" w:firstLine="102"/>
              <w:jc w:val="left"/>
              <w:rPr>
                <w:rStyle w:val="285pt"/>
                <w:rFonts w:ascii="Cambria" w:hAnsi="Cambria"/>
                <w:b w:val="false"/>
                <w:b w:val="false"/>
                <w:color w:val="auto"/>
                <w:sz w:val="18"/>
                <w:szCs w:val="18"/>
              </w:rPr>
            </w:pPr>
            <w:r>
              <w:rPr>
                <w:rFonts w:cs="Calibri" w:ascii="Cambria" w:hAnsi="Cambria"/>
                <w:sz w:val="18"/>
                <w:szCs w:val="18"/>
              </w:rPr>
              <w:t xml:space="preserve"> </w:t>
            </w:r>
            <w:r>
              <w:rPr>
                <w:rFonts w:cs="Calibri" w:ascii="Cambria" w:hAnsi="Cambria"/>
                <w:sz w:val="18"/>
                <w:szCs w:val="18"/>
              </w:rPr>
              <w:t xml:space="preserve">Прибыль/(убыток) за период </w:t>
            </w:r>
          </w:p>
        </w:tc>
        <w:tc>
          <w:tcPr>
            <w:tcW w:w="2127" w:type="dxa"/>
            <w:tcBorders/>
            <w:shd w:color="auto" w:fill="FFFFFF" w:val="clear"/>
            <w:vAlign w:val="center"/>
          </w:tcPr>
          <w:p>
            <w:pPr>
              <w:pStyle w:val="Normal"/>
              <w:jc w:val="right"/>
              <w:rPr>
                <w:rFonts w:ascii="Cambria" w:hAnsi="Cambria" w:cs="Calibri"/>
                <w:sz w:val="18"/>
                <w:szCs w:val="18"/>
              </w:rPr>
            </w:pPr>
            <w:r>
              <w:rPr>
                <w:rFonts w:cs="Calibri" w:ascii="Cambria" w:hAnsi="Cambria"/>
                <w:sz w:val="18"/>
                <w:szCs w:val="18"/>
              </w:rPr>
            </w:r>
          </w:p>
        </w:tc>
        <w:tc>
          <w:tcPr>
            <w:tcW w:w="1984" w:type="dxa"/>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eastAsia="" w:cs="Calibri" w:eastAsiaTheme="minorEastAsia" w:ascii="Cambria" w:hAnsi="Cambria"/>
                <w:sz w:val="18"/>
                <w:szCs w:val="18"/>
              </w:rPr>
            </w:r>
          </w:p>
        </w:tc>
        <w:tc>
          <w:tcPr>
            <w:tcW w:w="1984" w:type="dxa"/>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cs="Calibri" w:ascii="Cambria" w:hAnsi="Cambria"/>
                <w:sz w:val="18"/>
                <w:szCs w:val="18"/>
              </w:rPr>
              <w:t xml:space="preserve">                    </w:t>
            </w:r>
            <w:r>
              <w:rPr>
                <w:rFonts w:cs="Calibri" w:ascii="Cambria" w:hAnsi="Cambria"/>
                <w:sz w:val="18"/>
                <w:szCs w:val="18"/>
              </w:rPr>
              <w:t xml:space="preserve">153 457 </w:t>
            </w:r>
          </w:p>
        </w:tc>
        <w:tc>
          <w:tcPr>
            <w:tcW w:w="1842" w:type="dxa"/>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b/>
                <w:b/>
                <w:sz w:val="18"/>
                <w:szCs w:val="18"/>
              </w:rPr>
            </w:pPr>
            <w:r>
              <w:rPr>
                <w:rFonts w:cs="Calibri" w:ascii="Cambria" w:hAnsi="Cambria"/>
                <w:sz w:val="18"/>
                <w:szCs w:val="18"/>
              </w:rPr>
              <w:t xml:space="preserve">               </w:t>
            </w:r>
            <w:r>
              <w:rPr>
                <w:rFonts w:cs="Calibri" w:ascii="Cambria" w:hAnsi="Cambria"/>
                <w:sz w:val="18"/>
                <w:szCs w:val="18"/>
              </w:rPr>
              <w:t xml:space="preserve">153 457 </w:t>
            </w:r>
          </w:p>
        </w:tc>
      </w:tr>
      <w:tr>
        <w:trPr>
          <w:trHeight w:val="283" w:hRule="atLeast"/>
        </w:trPr>
        <w:tc>
          <w:tcPr>
            <w:tcW w:w="3979" w:type="dxa"/>
            <w:gridSpan w:val="2"/>
            <w:tcBorders/>
            <w:shd w:color="auto" w:fill="FFFFFF" w:val="clear"/>
            <w:vAlign w:val="center"/>
          </w:tcPr>
          <w:p>
            <w:pPr>
              <w:pStyle w:val="210"/>
              <w:shd w:val="clear" w:color="auto" w:fill="auto"/>
              <w:spacing w:lineRule="auto" w:line="240" w:before="0" w:after="0"/>
              <w:ind w:left="-102" w:right="134" w:firstLine="102"/>
              <w:jc w:val="left"/>
              <w:rPr>
                <w:rStyle w:val="285pt"/>
                <w:rFonts w:ascii="Cambria" w:hAnsi="Cambria"/>
                <w:b w:val="false"/>
                <w:b w:val="false"/>
                <w:color w:val="auto"/>
                <w:sz w:val="18"/>
                <w:szCs w:val="18"/>
              </w:rPr>
            </w:pPr>
            <w:r>
              <w:rPr>
                <w:rFonts w:cs="Calibri" w:ascii="Cambria" w:hAnsi="Cambria"/>
                <w:sz w:val="18"/>
                <w:szCs w:val="18"/>
              </w:rPr>
              <w:t xml:space="preserve"> </w:t>
            </w:r>
            <w:r>
              <w:rPr>
                <w:rFonts w:cs="Calibri" w:ascii="Cambria" w:hAnsi="Cambria"/>
                <w:sz w:val="18"/>
                <w:szCs w:val="18"/>
              </w:rPr>
              <w:t xml:space="preserve">Дивиденды </w:t>
            </w:r>
          </w:p>
        </w:tc>
        <w:tc>
          <w:tcPr>
            <w:tcW w:w="2127" w:type="dxa"/>
            <w:tcBorders/>
            <w:shd w:color="auto" w:fill="FFFFFF" w:val="clear"/>
            <w:vAlign w:val="center"/>
          </w:tcPr>
          <w:p>
            <w:pPr>
              <w:pStyle w:val="Normal"/>
              <w:jc w:val="right"/>
              <w:rPr>
                <w:rFonts w:ascii="Cambria" w:hAnsi="Cambria" w:cs="Calibri"/>
                <w:sz w:val="18"/>
                <w:szCs w:val="18"/>
              </w:rPr>
            </w:pPr>
            <w:r>
              <w:rPr>
                <w:rFonts w:cs="Calibri" w:ascii="Cambria" w:hAnsi="Cambria"/>
                <w:sz w:val="18"/>
                <w:szCs w:val="18"/>
              </w:rPr>
            </w:r>
          </w:p>
        </w:tc>
        <w:tc>
          <w:tcPr>
            <w:tcW w:w="1984" w:type="dxa"/>
            <w:tcBorders/>
            <w:shd w:color="auto" w:fill="FFFFFF" w:val="clear"/>
            <w:vAlign w:val="center"/>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eastAsia="" w:cs="Calibri" w:eastAsiaTheme="minorEastAsia" w:ascii="Cambria" w:hAnsi="Cambria"/>
                <w:sz w:val="18"/>
                <w:szCs w:val="18"/>
              </w:rPr>
            </w:r>
          </w:p>
        </w:tc>
        <w:tc>
          <w:tcPr>
            <w:tcW w:w="1984"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sz w:val="18"/>
                <w:szCs w:val="18"/>
              </w:rPr>
            </w:pPr>
            <w:r>
              <w:rPr>
                <w:rFonts w:cs="Calibri" w:ascii="Cambria" w:hAnsi="Cambria"/>
                <w:color w:val="000000"/>
                <w:sz w:val="18"/>
                <w:szCs w:val="18"/>
              </w:rPr>
              <w:t xml:space="preserve">                    </w:t>
            </w:r>
            <w:r>
              <w:rPr>
                <w:rFonts w:cs="Calibri" w:ascii="Cambria" w:hAnsi="Cambria"/>
                <w:color w:val="000000"/>
                <w:sz w:val="18"/>
                <w:szCs w:val="18"/>
              </w:rPr>
              <w:t>(29 500)</w:t>
            </w:r>
          </w:p>
        </w:tc>
        <w:tc>
          <w:tcPr>
            <w:tcW w:w="1842" w:type="dxa"/>
            <w:tcBorders/>
            <w:shd w:color="auto" w:fill="FFFFFF" w:val="clear"/>
            <w:vAlign w:val="bottom"/>
          </w:tcPr>
          <w:p>
            <w:pPr>
              <w:pStyle w:val="210"/>
              <w:shd w:val="clear" w:color="auto" w:fill="auto"/>
              <w:spacing w:lineRule="auto" w:line="240" w:before="0" w:after="0"/>
              <w:ind w:hanging="0"/>
              <w:jc w:val="right"/>
              <w:rPr>
                <w:rFonts w:ascii="Cambria" w:hAnsi="Cambria" w:eastAsia="" w:cs="Calibri" w:eastAsiaTheme="minorEastAsia"/>
                <w:b/>
                <w:b/>
                <w:sz w:val="18"/>
                <w:szCs w:val="18"/>
              </w:rPr>
            </w:pPr>
            <w:r>
              <w:rPr>
                <w:rFonts w:cs="Calibri" w:ascii="Cambria" w:hAnsi="Cambria"/>
                <w:color w:val="000000"/>
                <w:sz w:val="18"/>
                <w:szCs w:val="18"/>
              </w:rPr>
              <w:t xml:space="preserve">               </w:t>
            </w:r>
            <w:r>
              <w:rPr>
                <w:rFonts w:cs="Calibri" w:ascii="Cambria" w:hAnsi="Cambria"/>
                <w:color w:val="000000"/>
                <w:sz w:val="18"/>
                <w:szCs w:val="18"/>
              </w:rPr>
              <w:t>(29 500)</w:t>
            </w:r>
          </w:p>
        </w:tc>
      </w:tr>
      <w:tr>
        <w:trPr>
          <w:trHeight w:val="357" w:hRule="atLeast"/>
        </w:trPr>
        <w:tc>
          <w:tcPr>
            <w:tcW w:w="10" w:type="dxa"/>
            <w:tcBorders/>
            <w:shd w:fill="auto" w:val="clear"/>
          </w:tcPr>
          <w:p>
            <w:pPr>
              <w:pStyle w:val="Normal"/>
              <w:rPr/>
            </w:pPr>
            <w:r>
              <w:rPr/>
            </w:r>
          </w:p>
        </w:tc>
        <w:tc>
          <w:tcPr>
            <w:tcW w:w="3969" w:type="dxa"/>
            <w:tcBorders/>
            <w:shd w:fill="auto" w:val="clear"/>
            <w:vAlign w:val="center"/>
          </w:tcPr>
          <w:p>
            <w:pPr>
              <w:pStyle w:val="210"/>
              <w:shd w:val="clear" w:color="auto" w:fill="auto"/>
              <w:spacing w:lineRule="auto" w:line="240" w:before="0" w:after="0"/>
              <w:ind w:left="-102" w:right="134" w:firstLine="102"/>
              <w:jc w:val="left"/>
              <w:rPr>
                <w:rStyle w:val="285pt"/>
                <w:rFonts w:ascii="Cambria" w:hAnsi="Cambria"/>
                <w:b w:val="false"/>
                <w:b w:val="false"/>
                <w:bCs w:val="false"/>
                <w:color w:val="auto"/>
                <w:sz w:val="18"/>
                <w:szCs w:val="18"/>
              </w:rPr>
            </w:pPr>
            <w:r>
              <w:rPr>
                <w:rFonts w:cs="Calibri" w:ascii="Cambria" w:hAnsi="Cambria"/>
                <w:sz w:val="18"/>
                <w:szCs w:val="18"/>
              </w:rPr>
              <w:t xml:space="preserve"> </w:t>
            </w:r>
            <w:r>
              <w:rPr>
                <w:rFonts w:cs="Calibri" w:ascii="Cambria" w:hAnsi="Cambria"/>
                <w:sz w:val="18"/>
                <w:szCs w:val="18"/>
              </w:rPr>
              <w:t xml:space="preserve">Прочее использование прибыли </w:t>
            </w:r>
          </w:p>
        </w:tc>
        <w:tc>
          <w:tcPr>
            <w:tcW w:w="2127" w:type="dxa"/>
            <w:tcBorders>
              <w:bottom w:val="single" w:sz="4" w:space="0" w:color="000000"/>
              <w:insideH w:val="single" w:sz="4" w:space="0" w:color="000000"/>
            </w:tcBorders>
            <w:shd w:fill="auto" w:val="clear"/>
            <w:vAlign w:val="center"/>
          </w:tcPr>
          <w:p>
            <w:pPr>
              <w:pStyle w:val="Normal"/>
              <w:jc w:val="right"/>
              <w:rPr>
                <w:rFonts w:ascii="Cambria" w:hAnsi="Cambria" w:cs="Calibri"/>
                <w:sz w:val="18"/>
                <w:szCs w:val="18"/>
              </w:rPr>
            </w:pPr>
            <w:r>
              <w:rPr>
                <w:rFonts w:cs="Calibri" w:ascii="Cambria" w:hAnsi="Cambria"/>
                <w:sz w:val="18"/>
                <w:szCs w:val="18"/>
              </w:rPr>
            </w:r>
          </w:p>
        </w:tc>
        <w:tc>
          <w:tcPr>
            <w:tcW w:w="1984" w:type="dxa"/>
            <w:tcBorders>
              <w:bottom w:val="single" w:sz="4" w:space="0" w:color="000000"/>
              <w:insideH w:val="single" w:sz="4" w:space="0" w:color="000000"/>
            </w:tcBorders>
            <w:shd w:fill="auto" w:val="clear"/>
            <w:vAlign w:val="center"/>
          </w:tcPr>
          <w:p>
            <w:pPr>
              <w:pStyle w:val="Normal"/>
              <w:jc w:val="right"/>
              <w:rPr>
                <w:rFonts w:ascii="Cambria" w:hAnsi="Cambria" w:cs="Calibri"/>
                <w:sz w:val="18"/>
                <w:szCs w:val="18"/>
              </w:rPr>
            </w:pPr>
            <w:r>
              <w:rPr>
                <w:rFonts w:cs="Calibri" w:ascii="Cambria" w:hAnsi="Cambria"/>
                <w:sz w:val="18"/>
                <w:szCs w:val="18"/>
              </w:rPr>
            </w:r>
          </w:p>
        </w:tc>
        <w:tc>
          <w:tcPr>
            <w:tcW w:w="1984" w:type="dxa"/>
            <w:tcBorders>
              <w:bottom w:val="single" w:sz="4" w:space="0" w:color="000000"/>
              <w:insideH w:val="single" w:sz="4" w:space="0" w:color="000000"/>
            </w:tcBorders>
            <w:shd w:fill="auto" w:val="clear"/>
            <w:vAlign w:val="center"/>
          </w:tcPr>
          <w:p>
            <w:pPr>
              <w:pStyle w:val="Normal"/>
              <w:jc w:val="right"/>
              <w:rPr>
                <w:rFonts w:ascii="Cambria" w:hAnsi="Cambria" w:cs="Calibri"/>
                <w:sz w:val="18"/>
                <w:szCs w:val="18"/>
              </w:rPr>
            </w:pPr>
            <w:r>
              <w:rPr>
                <w:rFonts w:cs="Calibri" w:ascii="Cambria" w:hAnsi="Cambria"/>
                <w:sz w:val="18"/>
                <w:szCs w:val="18"/>
              </w:rPr>
              <w:t xml:space="preserve">                    </w:t>
            </w:r>
            <w:r>
              <w:rPr>
                <w:rFonts w:cs="Calibri" w:ascii="Cambria" w:hAnsi="Cambria"/>
                <w:sz w:val="18"/>
                <w:szCs w:val="18"/>
              </w:rPr>
              <w:t>(35 212)</w:t>
            </w:r>
          </w:p>
        </w:tc>
        <w:tc>
          <w:tcPr>
            <w:tcW w:w="1842" w:type="dxa"/>
            <w:tcBorders>
              <w:bottom w:val="single" w:sz="4" w:space="0" w:color="000000"/>
              <w:insideH w:val="single" w:sz="4" w:space="0" w:color="000000"/>
            </w:tcBorders>
            <w:shd w:fill="auto" w:val="clear"/>
            <w:vAlign w:val="center"/>
          </w:tcPr>
          <w:p>
            <w:pPr>
              <w:pStyle w:val="Normal"/>
              <w:jc w:val="right"/>
              <w:rPr>
                <w:rFonts w:ascii="Cambria" w:hAnsi="Cambria" w:cs="Calibri"/>
                <w:b/>
                <w:b/>
                <w:sz w:val="18"/>
                <w:szCs w:val="18"/>
              </w:rPr>
            </w:pPr>
            <w:r>
              <w:rPr>
                <w:rFonts w:cs="Calibri" w:ascii="Cambria" w:hAnsi="Cambria"/>
                <w:sz w:val="18"/>
                <w:szCs w:val="18"/>
              </w:rPr>
              <w:t xml:space="preserve">               </w:t>
            </w:r>
            <w:r>
              <w:rPr>
                <w:rFonts w:cs="Calibri" w:ascii="Cambria" w:hAnsi="Cambria"/>
                <w:sz w:val="18"/>
                <w:szCs w:val="18"/>
              </w:rPr>
              <w:t>(35 212)</w:t>
            </w:r>
          </w:p>
        </w:tc>
      </w:tr>
      <w:tr>
        <w:trPr>
          <w:trHeight w:val="270" w:hRule="atLeast"/>
        </w:trPr>
        <w:tc>
          <w:tcPr>
            <w:tcW w:w="10" w:type="dxa"/>
            <w:tcBorders/>
            <w:shd w:fill="auto" w:val="clear"/>
          </w:tcPr>
          <w:p>
            <w:pPr>
              <w:pStyle w:val="Normal"/>
              <w:rPr/>
            </w:pPr>
            <w:r>
              <w:rPr/>
            </w:r>
          </w:p>
        </w:tc>
        <w:tc>
          <w:tcPr>
            <w:tcW w:w="3969" w:type="dxa"/>
            <w:tcBorders/>
            <w:shd w:fill="auto" w:val="clear"/>
            <w:vAlign w:val="center"/>
          </w:tcPr>
          <w:p>
            <w:pPr>
              <w:pStyle w:val="210"/>
              <w:shd w:val="clear" w:color="auto" w:fill="auto"/>
              <w:spacing w:lineRule="auto" w:line="240" w:before="0" w:after="0"/>
              <w:ind w:left="-102" w:right="134" w:firstLine="102"/>
              <w:jc w:val="left"/>
              <w:rPr>
                <w:rStyle w:val="285pt"/>
                <w:rFonts w:ascii="Cambria" w:hAnsi="Cambria"/>
                <w:color w:val="auto"/>
                <w:sz w:val="18"/>
                <w:szCs w:val="18"/>
              </w:rPr>
            </w:pPr>
            <w:r>
              <w:rPr>
                <w:rFonts w:cs="Calibri" w:ascii="Cambria" w:hAnsi="Cambria"/>
                <w:b/>
                <w:bCs/>
                <w:sz w:val="18"/>
                <w:szCs w:val="18"/>
              </w:rPr>
              <w:t xml:space="preserve"> </w:t>
            </w:r>
            <w:r>
              <w:rPr>
                <w:rFonts w:cs="Calibri" w:ascii="Cambria" w:hAnsi="Cambria"/>
                <w:b/>
                <w:bCs/>
                <w:sz w:val="18"/>
                <w:szCs w:val="18"/>
              </w:rPr>
              <w:t xml:space="preserve">Остаток на 31.12.2018 </w:t>
            </w:r>
          </w:p>
        </w:tc>
        <w:tc>
          <w:tcPr>
            <w:tcW w:w="2127" w:type="dxa"/>
            <w:tcBorders>
              <w:top w:val="single" w:sz="4" w:space="0" w:color="000000"/>
            </w:tcBorders>
            <w:shd w:fill="auto"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118 000 </w:t>
            </w:r>
          </w:p>
        </w:tc>
        <w:tc>
          <w:tcPr>
            <w:tcW w:w="1984" w:type="dxa"/>
            <w:tcBorders>
              <w:top w:val="single" w:sz="4" w:space="0" w:color="000000"/>
            </w:tcBorders>
            <w:shd w:fill="auto"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12 000 </w:t>
            </w:r>
          </w:p>
        </w:tc>
        <w:tc>
          <w:tcPr>
            <w:tcW w:w="1984" w:type="dxa"/>
            <w:tcBorders>
              <w:top w:val="single" w:sz="4" w:space="0" w:color="000000"/>
            </w:tcBorders>
            <w:shd w:fill="auto"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3 935 752 </w:t>
            </w:r>
          </w:p>
        </w:tc>
        <w:tc>
          <w:tcPr>
            <w:tcW w:w="1842" w:type="dxa"/>
            <w:tcBorders>
              <w:top w:val="single" w:sz="4" w:space="0" w:color="000000"/>
            </w:tcBorders>
            <w:shd w:fill="auto"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 xml:space="preserve">4 065 752 </w:t>
            </w:r>
          </w:p>
        </w:tc>
      </w:tr>
    </w:tbl>
    <w:p>
      <w:pPr>
        <w:pStyle w:val="Normal"/>
        <w:tabs>
          <w:tab w:val="clear" w:pos="720"/>
          <w:tab w:val="left" w:pos="5670" w:leader="none"/>
        </w:tabs>
        <w:ind w:right="134" w:hanging="0"/>
        <w:rPr>
          <w:rFonts w:ascii="Cambria" w:hAnsi="Cambria" w:eastAsia="Calibri"/>
          <w:sz w:val="20"/>
          <w:szCs w:val="20"/>
          <w:lang w:eastAsia="en-US" w:bidi="ar-SA"/>
        </w:rPr>
      </w:pPr>
      <w:r>
        <w:rPr>
          <w:rFonts w:eastAsia="Calibri" w:ascii="Cambria" w:hAnsi="Cambria"/>
          <w:sz w:val="20"/>
          <w:szCs w:val="20"/>
          <w:lang w:eastAsia="en-US" w:bidi="ar-SA"/>
        </w:rPr>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Настоящая консолидированная финансовая отчетность утверждена руководством 26 апреля 2019 года. От имени руководства отчетность подписали: </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____________ </w:t>
        <w:tab/>
        <w:t xml:space="preserve">              ____________________</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Генеральный директор                                                                                                  Главный бухгалтер</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Янин В.И.                                                                                                                                  Рыбкина И.Ю.                                                                                                           </w:t>
        <w:tab/>
        <w:t xml:space="preserve">             </w:t>
      </w:r>
    </w:p>
    <w:p>
      <w:pPr>
        <w:pStyle w:val="Normal"/>
        <w:spacing w:before="120" w:after="120"/>
        <w:ind w:right="136" w:hanging="0"/>
        <w:jc w:val="both"/>
        <w:rPr>
          <w:rFonts w:ascii="Cambria" w:hAnsi="Cambria" w:cs="Arial"/>
          <w:bCs/>
          <w:sz w:val="20"/>
          <w:szCs w:val="20"/>
          <w:lang w:bidi="ar-SA"/>
        </w:rPr>
      </w:pPr>
      <w:r>
        <w:rPr>
          <w:rFonts w:cs="Arial" w:ascii="Cambria" w:hAnsi="Cambria"/>
          <w:bCs/>
          <w:sz w:val="20"/>
          <w:szCs w:val="20"/>
          <w:lang w:bidi="ar-SA"/>
        </w:rPr>
      </w:r>
    </w:p>
    <w:p>
      <w:pPr>
        <w:pStyle w:val="Normal"/>
        <w:spacing w:before="120" w:after="120"/>
        <w:ind w:right="136" w:hanging="0"/>
        <w:jc w:val="both"/>
        <w:rPr>
          <w:rFonts w:ascii="Cambria" w:hAnsi="Cambria" w:cs="Arial"/>
          <w:bCs/>
          <w:sz w:val="20"/>
          <w:szCs w:val="20"/>
          <w:lang w:bidi="ar-SA"/>
        </w:rPr>
      </w:pPr>
      <w:r>
        <w:rPr>
          <w:rFonts w:cs="Arial" w:ascii="Cambria" w:hAnsi="Cambria"/>
          <w:sz w:val="20"/>
          <w:szCs w:val="20"/>
          <w:lang w:bidi="ar-SA"/>
        </w:rPr>
        <w:t>г. Москва</w:t>
      </w:r>
    </w:p>
    <w:p>
      <w:pPr>
        <w:sectPr>
          <w:headerReference w:type="default" r:id="rId8"/>
          <w:footerReference w:type="default" r:id="rId9"/>
          <w:type w:val="nextPage"/>
          <w:pgSz w:orient="landscape" w:w="16838" w:h="11906"/>
          <w:pgMar w:left="1134" w:right="851" w:header="680" w:top="851" w:footer="680" w:bottom="851" w:gutter="0"/>
          <w:pgNumType w:fmt="decimal"/>
          <w:formProt w:val="false"/>
          <w:textDirection w:val="lrTb"/>
          <w:docGrid w:type="default" w:linePitch="360" w:charSpace="0"/>
        </w:sectPr>
        <w:pStyle w:val="210"/>
        <w:shd w:val="clear" w:color="auto" w:fill="auto"/>
        <w:spacing w:lineRule="exact" w:line="220" w:before="0" w:after="436"/>
        <w:ind w:right="134" w:hanging="0"/>
        <w:rPr>
          <w:rFonts w:ascii="Cambria" w:hAnsi="Cambria"/>
          <w:sz w:val="24"/>
          <w:szCs w:val="24"/>
        </w:rPr>
      </w:pPr>
      <w:r>
        <w:rPr>
          <w:rFonts w:ascii="Cambria" w:hAnsi="Cambria"/>
          <w:sz w:val="24"/>
          <w:szCs w:val="24"/>
        </w:rPr>
      </w:r>
    </w:p>
    <w:tbl>
      <w:tblPr>
        <w:tblW w:w="9640" w:type="dxa"/>
        <w:jc w:val="left"/>
        <w:tblInd w:w="-142" w:type="dxa"/>
        <w:tblBorders/>
        <w:tblCellMar>
          <w:top w:w="0" w:type="dxa"/>
          <w:left w:w="108" w:type="dxa"/>
          <w:bottom w:w="0" w:type="dxa"/>
          <w:right w:w="108" w:type="dxa"/>
        </w:tblCellMar>
        <w:tblLook w:firstRow="1" w:noVBand="1" w:lastRow="0" w:firstColumn="1" w:lastColumn="0" w:noHBand="0" w:val="04a0"/>
      </w:tblPr>
      <w:tblGrid>
        <w:gridCol w:w="4961"/>
        <w:gridCol w:w="706"/>
        <w:gridCol w:w="711"/>
        <w:gridCol w:w="1561"/>
        <w:gridCol w:w="1701"/>
      </w:tblGrid>
      <w:tr>
        <w:trPr>
          <w:trHeight w:val="478" w:hRule="atLeast"/>
        </w:trPr>
        <w:tc>
          <w:tcPr>
            <w:tcW w:w="4961" w:type="dxa"/>
            <w:tcBorders/>
            <w:shd w:fill="auto" w:val="clear"/>
            <w:vAlign w:val="center"/>
          </w:tcPr>
          <w:p>
            <w:pPr>
              <w:pStyle w:val="Normal"/>
              <w:jc w:val="center"/>
              <w:rPr>
                <w:rFonts w:ascii="Cambria" w:hAnsi="Cambria" w:eastAsia="Times New Roman" w:cs="Tahoma"/>
                <w:sz w:val="18"/>
                <w:szCs w:val="18"/>
                <w:lang w:bidi="ar-SA"/>
              </w:rPr>
            </w:pPr>
            <w:r>
              <w:rPr>
                <w:rFonts w:eastAsia="Times New Roman" w:cs="Tahoma" w:ascii="Cambria" w:hAnsi="Cambria"/>
                <w:sz w:val="18"/>
                <w:szCs w:val="18"/>
                <w:lang w:bidi="ar-SA"/>
              </w:rPr>
            </w:r>
          </w:p>
        </w:tc>
        <w:tc>
          <w:tcPr>
            <w:tcW w:w="1417" w:type="dxa"/>
            <w:gridSpan w:val="2"/>
            <w:tcBorders/>
            <w:shd w:fill="auto" w:val="clear"/>
            <w:vAlign w:val="bottom"/>
          </w:tcPr>
          <w:p>
            <w:pPr>
              <w:pStyle w:val="Normal"/>
              <w:jc w:val="center"/>
              <w:rPr>
                <w:rFonts w:ascii="Cambria" w:hAnsi="Cambria" w:eastAsia="Times New Roman" w:cs="Tahoma"/>
                <w:b/>
                <w:b/>
                <w:sz w:val="18"/>
                <w:szCs w:val="18"/>
                <w:lang w:bidi="ar-SA"/>
              </w:rPr>
            </w:pPr>
            <w:r>
              <w:rPr>
                <w:rFonts w:eastAsia="Times New Roman" w:cs="Tahoma" w:ascii="Cambria" w:hAnsi="Cambria"/>
                <w:b/>
                <w:sz w:val="18"/>
                <w:szCs w:val="18"/>
                <w:lang w:bidi="ar-SA"/>
              </w:rPr>
              <w:t>Примечания</w:t>
            </w:r>
          </w:p>
        </w:tc>
        <w:tc>
          <w:tcPr>
            <w:tcW w:w="1561" w:type="dxa"/>
            <w:tcBorders>
              <w:bottom w:val="single" w:sz="4" w:space="0" w:color="000000"/>
              <w:insideH w:val="single" w:sz="4" w:space="0" w:color="000000"/>
            </w:tcBorders>
            <w:shd w:fill="auto" w:val="clear"/>
            <w:vAlign w:val="center"/>
          </w:tcPr>
          <w:p>
            <w:pPr>
              <w:pStyle w:val="Normal"/>
              <w:jc w:val="center"/>
              <w:rPr>
                <w:rFonts w:ascii="Cambria" w:hAnsi="Cambria" w:eastAsia="Times New Roman" w:cs="Tahoma"/>
                <w:b/>
                <w:b/>
                <w:sz w:val="18"/>
                <w:szCs w:val="18"/>
                <w:lang w:bidi="ar-SA"/>
              </w:rPr>
            </w:pPr>
            <w:r>
              <w:rPr>
                <w:rStyle w:val="29pt"/>
                <w:rFonts w:eastAsia="" w:eastAsiaTheme="minorEastAsia"/>
              </w:rPr>
              <w:t>2018</w:t>
            </w:r>
          </w:p>
        </w:tc>
        <w:tc>
          <w:tcPr>
            <w:tcW w:w="1701" w:type="dxa"/>
            <w:tcBorders>
              <w:bottom w:val="single" w:sz="4" w:space="0" w:color="000000"/>
              <w:insideH w:val="single" w:sz="4" w:space="0" w:color="000000"/>
            </w:tcBorders>
            <w:shd w:fill="auto" w:val="clear"/>
            <w:vAlign w:val="center"/>
          </w:tcPr>
          <w:p>
            <w:pPr>
              <w:pStyle w:val="Normal"/>
              <w:jc w:val="center"/>
              <w:rPr>
                <w:rFonts w:ascii="Cambria" w:hAnsi="Cambria" w:eastAsia="Times New Roman" w:cs="Tahoma"/>
                <w:b/>
                <w:b/>
                <w:sz w:val="18"/>
                <w:szCs w:val="18"/>
                <w:lang w:bidi="ar-SA"/>
              </w:rPr>
            </w:pPr>
            <w:r>
              <w:rPr>
                <w:rStyle w:val="29pt"/>
                <w:rFonts w:eastAsia="" w:eastAsiaTheme="minorEastAsia"/>
              </w:rPr>
              <w:t>2017</w:t>
            </w:r>
          </w:p>
        </w:tc>
      </w:tr>
      <w:tr>
        <w:trPr>
          <w:trHeight w:val="403"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ДЕНЕЖНЫЙ ПОТОК ПО ОПЕРАЦИОННОЙ ДЕЯТЕЛЬНОСТИ:</w:t>
            </w:r>
          </w:p>
        </w:tc>
        <w:tc>
          <w:tcPr>
            <w:tcW w:w="706" w:type="dxa"/>
            <w:tcBorders/>
            <w:shd w:fill="auto" w:val="clear"/>
          </w:tcPr>
          <w:p>
            <w:pPr>
              <w:pStyle w:val="Normal"/>
              <w:tabs>
                <w:tab w:val="clear" w:pos="720"/>
                <w:tab w:val="left" w:pos="7286" w:leader="none"/>
                <w:tab w:val="left" w:pos="8538" w:leader="none"/>
              </w:tabs>
              <w:ind w:right="3467" w:hanging="0"/>
              <w:rPr>
                <w:rFonts w:ascii="Cambria" w:hAnsi="Cambria" w:eastAsia="Times New Roman" w:cs="Tahoma"/>
                <w:b/>
                <w:b/>
                <w:bCs/>
                <w:sz w:val="18"/>
                <w:szCs w:val="18"/>
                <w:lang w:bidi="ar-SA"/>
              </w:rPr>
            </w:pPr>
            <w:r>
              <w:rPr>
                <w:rFonts w:eastAsia="Times New Roman" w:cs="Tahoma" w:ascii="Cambria" w:hAnsi="Cambria"/>
                <w:b/>
                <w:bCs/>
                <w:sz w:val="18"/>
                <w:szCs w:val="18"/>
                <w:lang w:bidi="ar-SA"/>
              </w:rPr>
            </w:r>
          </w:p>
        </w:tc>
        <w:tc>
          <w:tcPr>
            <w:tcW w:w="711" w:type="dxa"/>
            <w:tcBorders/>
            <w:shd w:fill="auto" w:val="clear"/>
            <w:vAlign w:val="center"/>
          </w:tcPr>
          <w:p>
            <w:pPr>
              <w:pStyle w:val="Normal"/>
              <w:jc w:val="center"/>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top w:val="single" w:sz="4" w:space="0" w:color="000000"/>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701" w:type="dxa"/>
            <w:tcBorders>
              <w:top w:val="single" w:sz="4" w:space="0" w:color="000000"/>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Приток денежных средств по операционной деятельности</w:t>
            </w:r>
            <w:r>
              <w:rPr>
                <w:rFonts w:cs="Tahoma" w:ascii="Tahoma" w:hAnsi="Tahoma"/>
                <w:b/>
                <w:bCs/>
                <w:sz w:val="20"/>
                <w:szCs w:val="20"/>
              </w:rPr>
              <w:t xml:space="preserve">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b/>
                <w:bCs/>
                <w:sz w:val="18"/>
                <w:szCs w:val="18"/>
              </w:rPr>
              <w:t>2 570 759</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b/>
                <w:bCs/>
                <w:sz w:val="18"/>
                <w:szCs w:val="18"/>
              </w:rPr>
              <w:t>2 505 329</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Продажа продукции, товаров, работ и услуг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2 566 817</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2 491 619</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Прочие поступления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3 941</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13 710</w:t>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cs="Tahoma" w:ascii="Tahoma" w:hAnsi="Tahoma"/>
                <w:b/>
                <w:bCs/>
                <w:sz w:val="20"/>
                <w:szCs w:val="20"/>
              </w:rPr>
              <w:t xml:space="preserve"> </w:t>
            </w:r>
            <w:r>
              <w:rPr>
                <w:rFonts w:eastAsia="Times New Roman" w:cs="Tahoma" w:ascii="Cambria" w:hAnsi="Cambria"/>
                <w:b/>
                <w:bCs/>
                <w:sz w:val="18"/>
                <w:szCs w:val="18"/>
                <w:lang w:bidi="ar-SA"/>
              </w:rPr>
              <w:t>Отток денежных средств по операционной деятельности</w:t>
            </w:r>
            <w:r>
              <w:rPr>
                <w:rFonts w:cs="Tahoma" w:ascii="Tahoma" w:hAnsi="Tahoma"/>
                <w:b/>
                <w:bCs/>
                <w:sz w:val="20"/>
                <w:szCs w:val="20"/>
              </w:rPr>
              <w:t xml:space="preserve">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b/>
                <w:bCs/>
                <w:sz w:val="18"/>
                <w:szCs w:val="18"/>
              </w:rPr>
              <w:t>(2 643 116)</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b/>
                <w:bCs/>
                <w:sz w:val="18"/>
                <w:szCs w:val="18"/>
              </w:rPr>
              <w:t>(2 834 242)</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Себестоимость продаж (поставщикам за сырье, материалы, работы, услуги и пр.)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(1 096 147)</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(1 209 049)</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Оплата труда сотрудников и прочие выплаты персоналу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(743 643)</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(803 406)</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Платежи в бюджет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(777 383)</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(806 624)</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Комиссии  и услуги банка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(2 758)</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(4 220)</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Прочие операционные расходы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(23 185)</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(10 943)</w:t>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 xml:space="preserve">ИТОГО Денежный поток по операционной деятельности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b/>
                <w:bCs/>
                <w:sz w:val="18"/>
                <w:szCs w:val="18"/>
              </w:rPr>
              <w:t>(72 357)</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b/>
                <w:bCs/>
                <w:sz w:val="18"/>
                <w:szCs w:val="18"/>
              </w:rPr>
              <w:t>(328 913)</w:t>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 xml:space="preserve">ДЕНЕЖНЫЙ ПОТОК ПО ИНВЕСТИЦИОННОЙ ДЕЯТЕЛЬНОСТИ: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 xml:space="preserve">Приток денежных средств по инвестиционной деятельности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b/>
                <w:bCs/>
                <w:sz w:val="18"/>
                <w:szCs w:val="18"/>
              </w:rPr>
              <w:t>182 278</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b/>
                <w:bCs/>
                <w:sz w:val="18"/>
                <w:szCs w:val="18"/>
              </w:rPr>
              <w:t>801 511</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Проценты  полученные по договорам займа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2 778</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12 163</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Возврат кредитов и займов, погашение (выкуп) векселей и других долговых ценных бумаг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sz w:val="18"/>
                <w:szCs w:val="18"/>
              </w:rPr>
              <w:t>179 500</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sz w:val="18"/>
                <w:szCs w:val="18"/>
              </w:rPr>
              <w:t>789 348</w:t>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 xml:space="preserve">Отток денежных средств по инвестиционной деятельности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val="en-US" w:bidi="ar-SA"/>
              </w:rPr>
            </w:pPr>
            <w:r>
              <w:rPr>
                <w:rFonts w:cs="Calibri" w:ascii="Cambria" w:hAnsi="Cambria"/>
                <w:b/>
                <w:bCs/>
                <w:sz w:val="18"/>
                <w:szCs w:val="18"/>
              </w:rPr>
              <w:t>(236 360)</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b/>
                <w:bCs/>
                <w:sz w:val="18"/>
                <w:szCs w:val="18"/>
              </w:rPr>
              <w:t>(822 858)</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Приобретение, создание, модернизация, реконструкция и подготовка к использованию внеоборотных активов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val="en-US" w:bidi="ar-SA"/>
              </w:rPr>
            </w:pPr>
            <w:r>
              <w:rPr>
                <w:rFonts w:cs="Calibri" w:ascii="Cambria" w:hAnsi="Cambria"/>
                <w:sz w:val="18"/>
                <w:szCs w:val="18"/>
              </w:rPr>
              <w:t>(46 385)</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(14 461)</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Предоставление займов, приобретение долговых ценных бумаг (прав требования денежных средств к другим лицам) и пр.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sz w:val="18"/>
                <w:szCs w:val="18"/>
              </w:rPr>
              <w:t>(189 975)</w:t>
            </w:r>
          </w:p>
        </w:tc>
        <w:tc>
          <w:tcPr>
            <w:tcW w:w="1701" w:type="dxa"/>
            <w:tcBorders/>
            <w:shd w:fill="auto" w:val="clear"/>
            <w:vAlign w:val="center"/>
          </w:tcPr>
          <w:p>
            <w:pPr>
              <w:pStyle w:val="Normal"/>
              <w:jc w:val="right"/>
              <w:rPr>
                <w:rFonts w:ascii="Cambria" w:hAnsi="Cambria" w:cs="Calibri"/>
                <w:sz w:val="18"/>
                <w:szCs w:val="18"/>
              </w:rPr>
            </w:pPr>
            <w:r>
              <w:rPr>
                <w:rFonts w:cs="Calibri" w:ascii="Cambria" w:hAnsi="Cambria"/>
                <w:sz w:val="18"/>
                <w:szCs w:val="18"/>
              </w:rPr>
              <w:t xml:space="preserve">                 </w:t>
            </w:r>
          </w:p>
          <w:p>
            <w:pPr>
              <w:pStyle w:val="Normal"/>
              <w:jc w:val="right"/>
              <w:rPr>
                <w:rFonts w:ascii="Cambria" w:hAnsi="Cambria" w:cs="Calibri"/>
                <w:sz w:val="18"/>
                <w:szCs w:val="18"/>
              </w:rPr>
            </w:pPr>
            <w:r>
              <w:rPr>
                <w:rFonts w:cs="Calibri" w:ascii="Cambria" w:hAnsi="Cambria"/>
                <w:sz w:val="18"/>
                <w:szCs w:val="18"/>
              </w:rPr>
              <w:t>(808 398)</w:t>
            </w:r>
          </w:p>
          <w:p>
            <w:pPr>
              <w:pStyle w:val="Normal"/>
              <w:jc w:val="right"/>
              <w:rPr>
                <w:rFonts w:ascii="Cambria" w:hAnsi="Cambria" w:eastAsia="Times New Roman" w:cs="Tahoma"/>
                <w:b/>
                <w:b/>
                <w:bCs/>
                <w:sz w:val="18"/>
                <w:szCs w:val="18"/>
                <w:lang w:bidi="ar-SA"/>
              </w:rPr>
            </w:pPr>
            <w:r>
              <w:rPr>
                <w:rFonts w:eastAsia="Times New Roman" w:cs="Tahoma" w:ascii="Cambria" w:hAnsi="Cambria"/>
                <w:b/>
                <w:bCs/>
                <w:sz w:val="18"/>
                <w:szCs w:val="18"/>
                <w:lang w:bidi="ar-SA"/>
              </w:rPr>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 xml:space="preserve">ИТОГО Денежный поток по инвестиционной деятельности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b/>
                <w:bCs/>
                <w:sz w:val="18"/>
                <w:szCs w:val="18"/>
              </w:rPr>
              <w:t>(54 082)</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b/>
                <w:bCs/>
                <w:sz w:val="18"/>
                <w:szCs w:val="18"/>
              </w:rPr>
              <w:t>(21 347)</w:t>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 xml:space="preserve">ДЕНЕЖНЫЙ ПОТОК ПО ФИНАНСОВОЙ ДЕЯТЕЛЬНОСТИ: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sz w:val="18"/>
                <w:szCs w:val="18"/>
              </w:rPr>
              <w:t>-</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sz w:val="18"/>
                <w:szCs w:val="18"/>
              </w:rPr>
              <w:t>-</w:t>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 xml:space="preserve">Приток денежных средств по финансовой деятельности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b/>
                <w:bCs/>
                <w:sz w:val="18"/>
                <w:szCs w:val="18"/>
              </w:rPr>
              <w:t>170 629</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b/>
                <w:bCs/>
                <w:sz w:val="18"/>
                <w:szCs w:val="18"/>
              </w:rPr>
              <w:t>225 500</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Получение кредитов и займов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sz w:val="18"/>
                <w:szCs w:val="18"/>
              </w:rPr>
              <w:t>170 629</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sz w:val="18"/>
                <w:szCs w:val="18"/>
              </w:rPr>
              <w:t>225 500</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Получение денежных вкладов собственников (участников)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Прочие поступления по финансовой деятельности, в т.ч. возврат займов и кредитов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w:t>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cs="Tahoma" w:ascii="Tahoma" w:hAnsi="Tahoma"/>
                <w:b/>
                <w:bCs/>
                <w:sz w:val="20"/>
                <w:szCs w:val="20"/>
              </w:rPr>
              <w:t xml:space="preserve"> </w:t>
            </w:r>
            <w:r>
              <w:rPr>
                <w:rFonts w:eastAsia="Times New Roman" w:cs="Tahoma" w:ascii="Cambria" w:hAnsi="Cambria"/>
                <w:b/>
                <w:bCs/>
                <w:sz w:val="18"/>
                <w:szCs w:val="18"/>
                <w:lang w:bidi="ar-SA"/>
              </w:rPr>
              <w:t>Отток денежных средств по финансовой деятельности</w:t>
            </w:r>
            <w:r>
              <w:rPr>
                <w:rFonts w:cs="Tahoma" w:ascii="Tahoma" w:hAnsi="Tahoma"/>
                <w:b/>
                <w:bCs/>
                <w:sz w:val="20"/>
                <w:szCs w:val="20"/>
              </w:rPr>
              <w:t xml:space="preserve">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b/>
                <w:bCs/>
                <w:sz w:val="18"/>
                <w:szCs w:val="18"/>
              </w:rPr>
              <w:t>(227 532)</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b/>
                <w:bCs/>
                <w:sz w:val="18"/>
                <w:szCs w:val="18"/>
              </w:rPr>
              <w:t>(126 814)</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Выплата дивидендов и иных платежей по распределению прибыли в пользу собственников (участников)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(24 207)</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(22 810)</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Возврат кредитов и займов, погашение (выкуп) векселей и других долговых ценных бумаг </w:t>
            </w:r>
          </w:p>
        </w:tc>
        <w:tc>
          <w:tcPr>
            <w:tcW w:w="1417" w:type="dxa"/>
            <w:gridSpan w:val="2"/>
            <w:tcBorders/>
            <w:shd w:fill="auto" w:val="clear"/>
            <w:vAlign w:val="center"/>
          </w:tcPr>
          <w:p>
            <w:pPr>
              <w:pStyle w:val="Normal"/>
              <w:jc w:val="right"/>
              <w:rPr>
                <w:rFonts w:ascii="Cambria" w:hAnsi="Cambria" w:eastAsia="Times New Roman" w:cs="Tahoma"/>
                <w:b/>
                <w:b/>
                <w:sz w:val="18"/>
                <w:szCs w:val="18"/>
                <w:lang w:bidi="ar-SA"/>
              </w:rPr>
            </w:pPr>
            <w:r>
              <w:rPr>
                <w:rFonts w:eastAsia="Times New Roman" w:cs="Tahoma" w:ascii="Cambria" w:hAnsi="Cambria"/>
                <w:b/>
                <w:sz w:val="18"/>
                <w:szCs w:val="18"/>
                <w:lang w:bidi="ar-SA"/>
              </w:rPr>
            </w:r>
          </w:p>
        </w:tc>
        <w:tc>
          <w:tcPr>
            <w:tcW w:w="1561" w:type="dxa"/>
            <w:tcBorders/>
            <w:shd w:fill="auto" w:val="clear"/>
            <w:vAlign w:val="center"/>
          </w:tcPr>
          <w:p>
            <w:pPr>
              <w:pStyle w:val="Normal"/>
              <w:jc w:val="right"/>
              <w:rPr>
                <w:rFonts w:ascii="Cambria" w:hAnsi="Cambria" w:eastAsia="Times New Roman" w:cs="Tahoma"/>
                <w:b/>
                <w:b/>
                <w:sz w:val="18"/>
                <w:szCs w:val="18"/>
                <w:lang w:bidi="ar-SA"/>
              </w:rPr>
            </w:pPr>
            <w:r>
              <w:rPr>
                <w:rFonts w:cs="Calibri" w:ascii="Cambria" w:hAnsi="Cambria"/>
                <w:sz w:val="18"/>
                <w:szCs w:val="18"/>
              </w:rPr>
              <w:t>(200 480)</w:t>
            </w:r>
          </w:p>
        </w:tc>
        <w:tc>
          <w:tcPr>
            <w:tcW w:w="1701" w:type="dxa"/>
            <w:tcBorders/>
            <w:shd w:fill="auto" w:val="clear"/>
            <w:vAlign w:val="center"/>
          </w:tcPr>
          <w:p>
            <w:pPr>
              <w:pStyle w:val="Normal"/>
              <w:jc w:val="right"/>
              <w:rPr>
                <w:rFonts w:ascii="Cambria" w:hAnsi="Cambria" w:eastAsia="Times New Roman" w:cs="Tahoma"/>
                <w:b/>
                <w:b/>
                <w:bCs/>
                <w:sz w:val="18"/>
                <w:szCs w:val="18"/>
                <w:lang w:bidi="ar-SA"/>
              </w:rPr>
            </w:pPr>
            <w:r>
              <w:rPr>
                <w:rFonts w:cs="Calibri" w:ascii="Cambria" w:hAnsi="Cambria"/>
                <w:sz w:val="18"/>
                <w:szCs w:val="18"/>
              </w:rPr>
              <w:t>(99 500)</w:t>
            </w:r>
          </w:p>
        </w:tc>
      </w:tr>
      <w:tr>
        <w:trPr>
          <w:trHeight w:val="25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Проценты по долговым обязательствам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val="en-US" w:bidi="ar-SA"/>
              </w:rPr>
            </w:pPr>
            <w:r>
              <w:rPr>
                <w:rFonts w:cs="Calibri" w:ascii="Cambria" w:hAnsi="Cambria"/>
                <w:sz w:val="18"/>
                <w:szCs w:val="18"/>
              </w:rPr>
              <w:t xml:space="preserve">                   </w:t>
            </w:r>
            <w:r>
              <w:rPr>
                <w:rFonts w:cs="Calibri" w:ascii="Cambria" w:hAnsi="Cambria"/>
                <w:sz w:val="18"/>
                <w:szCs w:val="18"/>
              </w:rPr>
              <w:t>(2 531)</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sz w:val="18"/>
                <w:szCs w:val="18"/>
              </w:rPr>
              <w:t xml:space="preserve">                     </w:t>
            </w:r>
            <w:r>
              <w:rPr>
                <w:rFonts w:cs="Calibri" w:ascii="Cambria" w:hAnsi="Cambria"/>
                <w:sz w:val="18"/>
                <w:szCs w:val="18"/>
              </w:rPr>
              <w:t>(4 504)</w:t>
            </w:r>
          </w:p>
        </w:tc>
      </w:tr>
      <w:tr>
        <w:trPr>
          <w:trHeight w:val="25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 xml:space="preserve">ИТОГО Денежный поток по финансовой деятельности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b/>
                <w:bCs/>
                <w:sz w:val="18"/>
                <w:szCs w:val="18"/>
              </w:rPr>
              <w:t xml:space="preserve">          </w:t>
            </w:r>
            <w:r>
              <w:rPr>
                <w:rFonts w:cs="Calibri" w:ascii="Cambria" w:hAnsi="Cambria"/>
                <w:b/>
                <w:bCs/>
                <w:sz w:val="18"/>
                <w:szCs w:val="18"/>
              </w:rPr>
              <w:t>(56 903)</w:t>
            </w:r>
          </w:p>
        </w:tc>
        <w:tc>
          <w:tcPr>
            <w:tcW w:w="1701" w:type="dxa"/>
            <w:tcBorders/>
            <w:shd w:fill="auto" w:val="clear"/>
            <w:vAlign w:val="center"/>
          </w:tcPr>
          <w:p>
            <w:pPr>
              <w:pStyle w:val="Normal"/>
              <w:jc w:val="right"/>
              <w:rPr>
                <w:rFonts w:ascii="Cambria" w:hAnsi="Cambria" w:eastAsia="Times New Roman" w:cs="Tahoma"/>
                <w:sz w:val="18"/>
                <w:szCs w:val="18"/>
                <w:lang w:bidi="ar-SA"/>
              </w:rPr>
            </w:pPr>
            <w:r>
              <w:rPr>
                <w:rFonts w:cs="Calibri" w:ascii="Cambria" w:hAnsi="Cambria"/>
                <w:b/>
                <w:bCs/>
                <w:sz w:val="18"/>
                <w:szCs w:val="18"/>
              </w:rPr>
              <w:t xml:space="preserve">             </w:t>
            </w:r>
            <w:r>
              <w:rPr>
                <w:rFonts w:cs="Calibri" w:ascii="Cambria" w:hAnsi="Cambria"/>
                <w:b/>
                <w:bCs/>
                <w:sz w:val="18"/>
                <w:szCs w:val="18"/>
              </w:rPr>
              <w:t xml:space="preserve">98 686 </w:t>
            </w:r>
          </w:p>
        </w:tc>
      </w:tr>
      <w:tr>
        <w:trPr>
          <w:trHeight w:val="95" w:hRule="atLeast"/>
        </w:trPr>
        <w:tc>
          <w:tcPr>
            <w:tcW w:w="4961" w:type="dxa"/>
            <w:tcBorders/>
            <w:shd w:fill="auto" w:val="clear"/>
            <w:vAlign w:val="center"/>
          </w:tcPr>
          <w:p>
            <w:pPr>
              <w:pStyle w:val="Normal"/>
              <w:rPr>
                <w:rFonts w:ascii="Cambria" w:hAnsi="Cambria" w:eastAsia="Times New Roman" w:cs="Tahoma"/>
                <w:b/>
                <w:b/>
                <w:bCs/>
                <w:sz w:val="18"/>
                <w:szCs w:val="18"/>
                <w:lang w:bidi="ar-SA"/>
              </w:rPr>
            </w:pPr>
            <w:r>
              <w:rPr>
                <w:rFonts w:eastAsia="Times New Roman" w:cs="Tahoma" w:ascii="Cambria" w:hAnsi="Cambria"/>
                <w:b/>
                <w:bCs/>
                <w:sz w:val="18"/>
                <w:szCs w:val="18"/>
                <w:lang w:bidi="ar-SA"/>
              </w:rPr>
              <w:t xml:space="preserve"> </w:t>
            </w:r>
            <w:r>
              <w:rPr>
                <w:rFonts w:eastAsia="Times New Roman" w:cs="Tahoma" w:ascii="Cambria" w:hAnsi="Cambria"/>
                <w:b/>
                <w:bCs/>
                <w:sz w:val="18"/>
                <w:szCs w:val="18"/>
                <w:lang w:bidi="ar-SA"/>
              </w:rPr>
              <w:t>ЧИСТЫЙ ДЕНЕЖНЫЙ ПОТОК</w:t>
            </w:r>
            <w:r>
              <w:rPr>
                <w:rFonts w:cs="Tahoma" w:ascii="Tahoma" w:hAnsi="Tahoma"/>
                <w:b/>
                <w:bCs/>
                <w:sz w:val="20"/>
                <w:szCs w:val="20"/>
              </w:rPr>
              <w:t xml:space="preserve"> </w:t>
            </w:r>
          </w:p>
        </w:tc>
        <w:tc>
          <w:tcPr>
            <w:tcW w:w="1417" w:type="dxa"/>
            <w:gridSpan w:val="2"/>
            <w:tcBorders/>
            <w:shd w:fill="auto" w:val="clear"/>
            <w:vAlign w:val="center"/>
          </w:tcPr>
          <w:p>
            <w:pPr>
              <w:pStyle w:val="Normal"/>
              <w:jc w:val="right"/>
              <w:rPr>
                <w:rFonts w:ascii="Cambria" w:hAnsi="Cambria" w:eastAsia="Times New Roman" w:cs="Tahoma"/>
                <w:sz w:val="18"/>
                <w:szCs w:val="18"/>
                <w:lang w:val="en-US" w:bidi="ar-SA"/>
              </w:rPr>
            </w:pPr>
            <w:r>
              <w:rPr>
                <w:rFonts w:eastAsia="Times New Roman" w:cs="Tahoma" w:ascii="Cambria" w:hAnsi="Cambria"/>
                <w:sz w:val="18"/>
                <w:szCs w:val="18"/>
                <w:lang w:val="en-US" w:bidi="ar-SA"/>
              </w:rPr>
            </w:r>
          </w:p>
        </w:tc>
        <w:tc>
          <w:tcPr>
            <w:tcW w:w="1561" w:type="dxa"/>
            <w:tcBorders/>
            <w:shd w:fill="auto"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(183 342)</w:t>
            </w:r>
          </w:p>
        </w:tc>
        <w:tc>
          <w:tcPr>
            <w:tcW w:w="1701" w:type="dxa"/>
            <w:tcBorders/>
            <w:shd w:fill="auto" w:val="clear"/>
            <w:vAlign w:val="center"/>
          </w:tcPr>
          <w:p>
            <w:pPr>
              <w:pStyle w:val="Normal"/>
              <w:jc w:val="right"/>
              <w:rPr>
                <w:rFonts w:ascii="Cambria" w:hAnsi="Cambria" w:cs="Calibri"/>
                <w:b/>
                <w:b/>
                <w:sz w:val="18"/>
                <w:szCs w:val="18"/>
              </w:rPr>
            </w:pPr>
            <w:r>
              <w:rPr>
                <w:rFonts w:cs="Calibri" w:ascii="Cambria" w:hAnsi="Cambria"/>
                <w:b/>
                <w:bCs/>
                <w:sz w:val="18"/>
                <w:szCs w:val="18"/>
              </w:rPr>
              <w:t xml:space="preserve">          </w:t>
            </w:r>
            <w:r>
              <w:rPr>
                <w:rFonts w:cs="Calibri" w:ascii="Cambria" w:hAnsi="Cambria"/>
                <w:b/>
                <w:bCs/>
                <w:sz w:val="18"/>
                <w:szCs w:val="18"/>
              </w:rPr>
              <w:t>(251 575)</w:t>
            </w:r>
          </w:p>
        </w:tc>
      </w:tr>
      <w:tr>
        <w:trPr>
          <w:trHeight w:val="9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Остаток денежных средств  и денежных эквивалентов на начало отчетного периода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cs="Calibri" w:cstheme="minorHAnsi"/>
                <w:b/>
                <w:b/>
                <w:sz w:val="18"/>
                <w:szCs w:val="18"/>
              </w:rPr>
            </w:pPr>
            <w:r>
              <w:rPr>
                <w:rFonts w:cs="Calibri" w:ascii="Cambria" w:hAnsi="Cambria"/>
                <w:sz w:val="18"/>
                <w:szCs w:val="18"/>
              </w:rPr>
              <w:t xml:space="preserve">                </w:t>
            </w:r>
            <w:r>
              <w:rPr>
                <w:rFonts w:cs="Calibri" w:cstheme="minorHAnsi"/>
                <w:sz w:val="18"/>
                <w:szCs w:val="18"/>
              </w:rPr>
              <w:t xml:space="preserve">284 </w:t>
            </w:r>
            <w:bookmarkStart w:id="3" w:name="_GoBack"/>
            <w:bookmarkEnd w:id="3"/>
            <w:r>
              <w:rPr>
                <w:rFonts w:cs="Calibri" w:cstheme="minorHAnsi"/>
                <w:sz w:val="18"/>
                <w:szCs w:val="18"/>
              </w:rPr>
              <w:t xml:space="preserve">007 </w:t>
            </w:r>
          </w:p>
        </w:tc>
        <w:tc>
          <w:tcPr>
            <w:tcW w:w="1701" w:type="dxa"/>
            <w:tcBorders/>
            <w:shd w:fill="auto" w:val="clear"/>
            <w:vAlign w:val="center"/>
          </w:tcPr>
          <w:p>
            <w:pPr>
              <w:pStyle w:val="Normal"/>
              <w:jc w:val="right"/>
              <w:rPr>
                <w:rFonts w:ascii="Cambria" w:hAnsi="Cambria" w:cs="Calibri"/>
                <w:b/>
                <w:b/>
                <w:color w:val="FF0000"/>
                <w:sz w:val="18"/>
                <w:szCs w:val="18"/>
              </w:rPr>
            </w:pPr>
            <w:r>
              <w:rPr>
                <w:rFonts w:cs="Calibri" w:ascii="Cambria" w:hAnsi="Cambria"/>
                <w:sz w:val="18"/>
                <w:szCs w:val="18"/>
              </w:rPr>
              <w:t xml:space="preserve">                  </w:t>
            </w:r>
            <w:r>
              <w:rPr>
                <w:rFonts w:cs="Calibri" w:ascii="Cambria" w:hAnsi="Cambria"/>
                <w:sz w:val="18"/>
                <w:szCs w:val="18"/>
              </w:rPr>
              <w:t xml:space="preserve">535 582 </w:t>
            </w:r>
          </w:p>
        </w:tc>
      </w:tr>
      <w:tr>
        <w:trPr>
          <w:trHeight w:val="95" w:hRule="atLeast"/>
        </w:trPr>
        <w:tc>
          <w:tcPr>
            <w:tcW w:w="4961" w:type="dxa"/>
            <w:tcBorders/>
            <w:shd w:fill="auto" w:val="clear"/>
            <w:vAlign w:val="center"/>
          </w:tcPr>
          <w:p>
            <w:pPr>
              <w:pStyle w:val="210"/>
              <w:shd w:val="clear" w:color="auto" w:fill="auto"/>
              <w:spacing w:lineRule="auto" w:line="240" w:before="0" w:after="0"/>
              <w:ind w:right="134" w:hanging="0"/>
              <w:jc w:val="left"/>
              <w:rPr>
                <w:rFonts w:ascii="Cambria" w:hAnsi="Cambria"/>
                <w:sz w:val="18"/>
                <w:szCs w:val="18"/>
              </w:rPr>
            </w:pPr>
            <w:r>
              <w:rPr>
                <w:rFonts w:ascii="Cambria" w:hAnsi="Cambria"/>
                <w:sz w:val="18"/>
                <w:szCs w:val="18"/>
              </w:rPr>
              <w:t xml:space="preserve"> </w:t>
            </w:r>
            <w:r>
              <w:rPr>
                <w:rFonts w:ascii="Cambria" w:hAnsi="Cambria"/>
                <w:sz w:val="18"/>
                <w:szCs w:val="18"/>
              </w:rPr>
              <w:t xml:space="preserve">Остаток денежных средств и денежных эквивалентов на конец отчетного периода </w:t>
            </w:r>
          </w:p>
        </w:tc>
        <w:tc>
          <w:tcPr>
            <w:tcW w:w="1417" w:type="dxa"/>
            <w:gridSpan w:val="2"/>
            <w:tcBorders/>
            <w:shd w:fill="auto" w:val="clear"/>
            <w:vAlign w:val="center"/>
          </w:tcPr>
          <w:p>
            <w:pPr>
              <w:pStyle w:val="Normal"/>
              <w:jc w:val="right"/>
              <w:rPr>
                <w:rFonts w:ascii="Cambria" w:hAnsi="Cambria" w:eastAsia="Times New Roman" w:cs="Tahoma"/>
                <w:sz w:val="18"/>
                <w:szCs w:val="18"/>
                <w:lang w:bidi="ar-SA"/>
              </w:rPr>
            </w:pPr>
            <w:r>
              <w:rPr>
                <w:rFonts w:eastAsia="Times New Roman" w:cs="Tahoma" w:ascii="Cambria" w:hAnsi="Cambria"/>
                <w:sz w:val="18"/>
                <w:szCs w:val="18"/>
                <w:lang w:bidi="ar-SA"/>
              </w:rPr>
            </w:r>
          </w:p>
        </w:tc>
        <w:tc>
          <w:tcPr>
            <w:tcW w:w="1561" w:type="dxa"/>
            <w:tcBorders/>
            <w:shd w:fill="auto" w:val="clear"/>
            <w:vAlign w:val="center"/>
          </w:tcPr>
          <w:p>
            <w:pPr>
              <w:pStyle w:val="Normal"/>
              <w:jc w:val="right"/>
              <w:rPr>
                <w:rFonts w:ascii="Cambria" w:hAnsi="Cambria" w:cs="Calibri"/>
                <w:b/>
                <w:b/>
                <w:sz w:val="18"/>
                <w:szCs w:val="18"/>
              </w:rPr>
            </w:pPr>
            <w:r>
              <w:rPr>
                <w:rFonts w:cs="Calibri" w:ascii="Cambria" w:hAnsi="Cambria"/>
                <w:sz w:val="18"/>
                <w:szCs w:val="18"/>
              </w:rPr>
              <w:t xml:space="preserve">                  </w:t>
            </w:r>
            <w:r>
              <w:rPr>
                <w:rFonts w:cs="Calibri" w:ascii="Cambria" w:hAnsi="Cambria"/>
                <w:sz w:val="18"/>
                <w:szCs w:val="18"/>
              </w:rPr>
              <w:t xml:space="preserve">95 665 </w:t>
            </w:r>
          </w:p>
        </w:tc>
        <w:tc>
          <w:tcPr>
            <w:tcW w:w="1701" w:type="dxa"/>
            <w:tcBorders/>
            <w:shd w:fill="auto" w:val="clear"/>
            <w:vAlign w:val="center"/>
          </w:tcPr>
          <w:p>
            <w:pPr>
              <w:pStyle w:val="Normal"/>
              <w:jc w:val="right"/>
              <w:rPr>
                <w:rFonts w:ascii="Cambria" w:hAnsi="Cambria" w:cs="Calibri"/>
                <w:b/>
                <w:b/>
                <w:color w:val="FF0000"/>
                <w:sz w:val="18"/>
                <w:szCs w:val="18"/>
              </w:rPr>
            </w:pPr>
            <w:r>
              <w:rPr>
                <w:rFonts w:cs="Calibri" w:ascii="Cambria" w:hAnsi="Cambria"/>
                <w:sz w:val="18"/>
                <w:szCs w:val="18"/>
              </w:rPr>
              <w:t xml:space="preserve">                 </w:t>
            </w:r>
            <w:r>
              <w:rPr>
                <w:rFonts w:cs="Calibri" w:ascii="Cambria" w:hAnsi="Cambria"/>
                <w:sz w:val="18"/>
                <w:szCs w:val="18"/>
              </w:rPr>
              <w:t xml:space="preserve">284 007 </w:t>
            </w:r>
          </w:p>
        </w:tc>
      </w:tr>
    </w:tbl>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Настоящая консолидированная финансовая отчетность утверждена руководством 26 апреля 2019 года. От имени руководства отчетность подписали: </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______________________ </w:t>
        <w:tab/>
        <w:t xml:space="preserve">           ____________________</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Генеральный директор </w:t>
        <w:tab/>
        <w:t xml:space="preserve">           Главный бухгалтер</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Янин В.И.                                                                                                                     Рыбкина И.Ю.</w:t>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t>г. Москва</w:t>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sectPr>
          <w:headerReference w:type="default" r:id="rId10"/>
          <w:footerReference w:type="default" r:id="rId11"/>
          <w:type w:val="nextPage"/>
          <w:pgSz w:w="11906" w:h="16838"/>
          <w:pgMar w:left="1701" w:right="850" w:header="708" w:top="1134" w:footer="708" w:bottom="1134" w:gutter="0"/>
          <w:pgNumType w:fmt="decimal"/>
          <w:formProt w:val="false"/>
          <w:textDirection w:val="lrTb"/>
          <w:docGrid w:type="default" w:linePitch="360" w:charSpace="0"/>
        </w:sectPr>
        <w:pStyle w:val="Normal"/>
        <w:spacing w:before="120" w:after="120"/>
        <w:ind w:right="136" w:hanging="0"/>
        <w:jc w:val="both"/>
        <w:rPr>
          <w:rFonts w:ascii="Cambria" w:hAnsi="Cambria" w:cs="Arial"/>
          <w:sz w:val="20"/>
          <w:szCs w:val="20"/>
          <w:lang w:bidi="ar-SA"/>
        </w:rPr>
      </w:pPr>
      <w:r>
        <w:rPr>
          <w:rFonts w:cs="Arial" w:ascii="Cambria" w:hAnsi="Cambria"/>
          <w:sz w:val="20"/>
          <w:szCs w:val="20"/>
          <w:lang w:bidi="ar-SA"/>
        </w:rPr>
      </w:r>
    </w:p>
    <w:p>
      <w:pPr>
        <w:pStyle w:val="Normal"/>
        <w:spacing w:before="120" w:after="120"/>
        <w:ind w:right="136" w:hanging="0"/>
        <w:jc w:val="both"/>
        <w:rPr>
          <w:rFonts w:ascii="Cambria" w:hAnsi="Cambria"/>
        </w:rPr>
      </w:pPr>
      <w:r>
        <w:rPr>
          <w:rFonts w:ascii="Cambria" w:hAnsi="Cambria"/>
        </w:rPr>
      </w:r>
    </w:p>
    <w:p>
      <w:pPr>
        <w:pStyle w:val="ListParagraph"/>
        <w:keepLines/>
        <w:numPr>
          <w:ilvl w:val="0"/>
          <w:numId w:val="3"/>
        </w:numPr>
        <w:spacing w:before="120" w:after="120"/>
        <w:ind w:left="360" w:right="136" w:hanging="360"/>
        <w:contextualSpacing/>
        <w:outlineLvl w:val="0"/>
        <w:rPr>
          <w:rFonts w:ascii="Cambria" w:hAnsi="Cambria" w:eastAsia="Times New Roman" w:cs="Arial"/>
          <w:b/>
          <w:b/>
          <w:bCs/>
          <w:kern w:val="2"/>
          <w:szCs w:val="20"/>
        </w:rPr>
      </w:pPr>
      <w:bookmarkStart w:id="4" w:name="_Toc511723869"/>
      <w:bookmarkStart w:id="5" w:name="_Toc484002983"/>
      <w:bookmarkStart w:id="6" w:name="_Toc478735848"/>
      <w:bookmarkStart w:id="7" w:name="_Ref476686576"/>
      <w:r>
        <w:rPr>
          <w:rFonts w:eastAsia="Times New Roman" w:cs="Arial" w:ascii="Cambria" w:hAnsi="Cambria"/>
          <w:b/>
          <w:bCs/>
          <w:kern w:val="2"/>
          <w:szCs w:val="20"/>
        </w:rPr>
        <w:t>ВВЕДЕНИЕ</w:t>
      </w:r>
      <w:bookmarkEnd w:id="4"/>
      <w:bookmarkEnd w:id="5"/>
      <w:bookmarkEnd w:id="6"/>
      <w:bookmarkEnd w:id="7"/>
    </w:p>
    <w:p>
      <w:pPr>
        <w:pStyle w:val="ListParagraph"/>
        <w:numPr>
          <w:ilvl w:val="1"/>
          <w:numId w:val="3"/>
        </w:numPr>
        <w:spacing w:before="120" w:after="120"/>
        <w:ind w:left="432" w:right="136" w:hanging="432"/>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t xml:space="preserve"> </w:t>
      </w:r>
      <w:r>
        <w:rPr>
          <w:rFonts w:eastAsia="Times New Roman" w:cs="Arial" w:ascii="Cambria" w:hAnsi="Cambria"/>
          <w:b/>
          <w:sz w:val="20"/>
          <w:szCs w:val="20"/>
          <w:lang w:eastAsia="en-US" w:bidi="ar-SA"/>
        </w:rPr>
        <w:t>Организационная структура и виды деятельности</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АО «Завод «Компонент» (далее – «Компания») –является ведущим предприятием российской электронной промышленности, производит изделия, венчающие полный цикл микроэлектронного производства. Предприятие более 50 лет работает с высокими технологиями в области космической микроэлектронной аппаратуры, производством и внедрением в эксплуатацию специальных средств связи УКВ, КВ, СВЧ диапазонов, средств связи гражданского назначения, медицинской техники, приборов и устройств для газодобывающих отраслей народного хозяйства и средств спасения на море. В настоящее время на предприятии серийно выпускаются различные радиотехнические изделия – комплексы технических средств связи для спецподразделений силовых ведомств, внедрены в производство новые более современные станции спутниковой связи, технологии изготовления на бескорпусных кристаллах многоканальных приемопередающих СВЧ-модулей для РЛС на базе АФАР, освоено производство целого ряда радиоэлектронных изделий для систем высокоточного оружия </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Юридический адрес: 124460 г. Москва, Зеленоград, ул. Конструктора Гуськова, д.1, стр.1</w:t>
      </w:r>
    </w:p>
    <w:p>
      <w:pPr>
        <w:pStyle w:val="Normal"/>
        <w:spacing w:lineRule="auto" w:line="36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Компания имеет лицензии: </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 М 003823 ВВТ-ОПР от 30.03.2016 на разработку, производство, испытания, установку, монтаж, техническое обслуживание, ремонт, утилизацию и реализацию вооружения и военной техники, срок действия лицензии бессрочный;</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 1519К от 01.04.2011г на осуществление космической деятельности, срок действия лицензии бессрочный;</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 008175 ГТ 0164 от 29.08.2013 на осуществление мероприятий и оказание услуг в области защиты государственной тайны, срок действия до 29.08.2018;</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 0087082 ГТ от 14.03.2016г на право осуществления мероприятий и оказания услуг в области защиты государственной тайны, срок действия до 09.12.2018г.</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Основные виды деятельности:</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r>
        <w:rPr>
          <w:rFonts w:eastAsia="Times New Roman" w:cs="Arial" w:ascii="Cambria" w:hAnsi="Cambria"/>
          <w:sz w:val="20"/>
          <w:szCs w:val="20"/>
          <w:lang w:eastAsia="en-US" w:bidi="ar-SA"/>
        </w:rPr>
        <w:t>-  Производство элементов электронной аппаратуры</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r>
        <w:rPr>
          <w:rFonts w:eastAsia="Times New Roman" w:cs="Arial" w:ascii="Cambria" w:hAnsi="Cambria"/>
          <w:sz w:val="20"/>
          <w:szCs w:val="20"/>
          <w:lang w:eastAsia="en-US" w:bidi="ar-SA"/>
        </w:rPr>
        <w:t>-  Предоставление в аренду производственных помещений</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Компания является материнской компанией Группы (далее – «Группа»), в которую входят следующие предприятия, консолидированные для целей данной финансовой отчетности:</w:t>
      </w:r>
    </w:p>
    <w:tbl>
      <w:tblPr>
        <w:tblW w:w="4850" w:type="pct"/>
        <w:jc w:val="left"/>
        <w:tblInd w:w="0" w:type="dxa"/>
        <w:tblBorders/>
        <w:tblCellMar>
          <w:top w:w="0" w:type="dxa"/>
          <w:left w:w="0" w:type="dxa"/>
          <w:bottom w:w="0" w:type="dxa"/>
          <w:right w:w="0" w:type="dxa"/>
        </w:tblCellMar>
        <w:tblLook w:firstRow="0" w:noVBand="0" w:lastRow="0" w:firstColumn="0" w:lastColumn="0" w:noHBand="0" w:val="0000"/>
      </w:tblPr>
      <w:tblGrid>
        <w:gridCol w:w="2654"/>
        <w:gridCol w:w="1471"/>
        <w:gridCol w:w="180"/>
        <w:gridCol w:w="1420"/>
        <w:gridCol w:w="1996"/>
        <w:gridCol w:w="1332"/>
        <w:gridCol w:w="1"/>
        <w:gridCol w:w="19"/>
      </w:tblGrid>
      <w:tr>
        <w:trPr>
          <w:tblHeader w:val="true"/>
          <w:trHeight w:val="20" w:hRule="atLeast"/>
          <w:cantSplit w:val="true"/>
        </w:trPr>
        <w:tc>
          <w:tcPr>
            <w:tcW w:w="4125" w:type="dxa"/>
            <w:gridSpan w:val="2"/>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r>
          </w:p>
        </w:tc>
        <w:tc>
          <w:tcPr>
            <w:tcW w:w="180" w:type="dxa"/>
            <w:tcBorders>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r>
          </w:p>
        </w:tc>
        <w:tc>
          <w:tcPr>
            <w:tcW w:w="4749" w:type="dxa"/>
            <w:gridSpan w:val="4"/>
            <w:tcBorders>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t>Процент владения</w:t>
            </w:r>
          </w:p>
        </w:tc>
        <w:tc>
          <w:tcPr>
            <w:tcW w:w="19" w:type="dxa"/>
            <w:tcBorders/>
            <w:shd w:fill="auto" w:val="clear"/>
          </w:tcPr>
          <w:p>
            <w:pPr>
              <w:pStyle w:val="Normal"/>
              <w:rPr/>
            </w:pPr>
            <w:r>
              <w:rPr/>
            </w:r>
          </w:p>
        </w:tc>
      </w:tr>
      <w:tr>
        <w:trPr>
          <w:tblHeader w:val="true"/>
          <w:trHeight w:val="20" w:hRule="atLeast"/>
          <w:cantSplit w:val="true"/>
        </w:trPr>
        <w:tc>
          <w:tcPr>
            <w:tcW w:w="2654" w:type="dxa"/>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t>Наименование</w:t>
            </w:r>
          </w:p>
        </w:tc>
        <w:tc>
          <w:tcPr>
            <w:tcW w:w="1471" w:type="dxa"/>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t>Страна ведения деятельности</w:t>
            </w:r>
          </w:p>
        </w:tc>
        <w:tc>
          <w:tcPr>
            <w:tcW w:w="1600" w:type="dxa"/>
            <w:gridSpan w:val="2"/>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t>31 декабря 2018 года</w:t>
            </w:r>
          </w:p>
        </w:tc>
        <w:tc>
          <w:tcPr>
            <w:tcW w:w="1996" w:type="dxa"/>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t>31 декабря 2017 года</w:t>
            </w:r>
          </w:p>
        </w:tc>
        <w:tc>
          <w:tcPr>
            <w:tcW w:w="1332" w:type="dxa"/>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t xml:space="preserve">01 января </w:t>
              <w:br/>
              <w:t>2017 года</w:t>
            </w:r>
          </w:p>
        </w:tc>
        <w:tc>
          <w:tcPr>
            <w:tcW w:w="20" w:type="dxa"/>
            <w:gridSpan w:val="2"/>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r>
          </w:p>
        </w:tc>
      </w:tr>
      <w:tr>
        <w:trPr>
          <w:tblHeader w:val="true"/>
          <w:trHeight w:val="20" w:hRule="atLeast"/>
          <w:cantSplit w:val="true"/>
        </w:trPr>
        <w:tc>
          <w:tcPr>
            <w:tcW w:w="2654" w:type="dxa"/>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АО «Научно-Исследовательский институт микроприборов им. Г.Я Гуськова»</w:t>
            </w:r>
          </w:p>
        </w:tc>
        <w:tc>
          <w:tcPr>
            <w:tcW w:w="1471" w:type="dxa"/>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РФ</w:t>
            </w:r>
          </w:p>
        </w:tc>
        <w:tc>
          <w:tcPr>
            <w:tcW w:w="1600" w:type="dxa"/>
            <w:gridSpan w:val="2"/>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100%</w:t>
            </w:r>
          </w:p>
        </w:tc>
        <w:tc>
          <w:tcPr>
            <w:tcW w:w="1996" w:type="dxa"/>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100%</w:t>
            </w:r>
          </w:p>
        </w:tc>
        <w:tc>
          <w:tcPr>
            <w:tcW w:w="1332" w:type="dxa"/>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100%</w:t>
            </w:r>
          </w:p>
        </w:tc>
        <w:tc>
          <w:tcPr>
            <w:tcW w:w="20" w:type="dxa"/>
            <w:gridSpan w:val="2"/>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r>
          </w:p>
        </w:tc>
      </w:tr>
      <w:tr>
        <w:trPr>
          <w:tblHeader w:val="true"/>
          <w:trHeight w:val="20" w:hRule="atLeast"/>
          <w:cantSplit w:val="true"/>
        </w:trPr>
        <w:tc>
          <w:tcPr>
            <w:tcW w:w="2654" w:type="dxa"/>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АО «Завод Микроприбор»</w:t>
            </w:r>
          </w:p>
        </w:tc>
        <w:tc>
          <w:tcPr>
            <w:tcW w:w="1471" w:type="dxa"/>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РФ</w:t>
            </w:r>
          </w:p>
        </w:tc>
        <w:tc>
          <w:tcPr>
            <w:tcW w:w="1600" w:type="dxa"/>
            <w:gridSpan w:val="2"/>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100%</w:t>
            </w:r>
          </w:p>
        </w:tc>
        <w:tc>
          <w:tcPr>
            <w:tcW w:w="1996" w:type="dxa"/>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100%</w:t>
            </w:r>
          </w:p>
        </w:tc>
        <w:tc>
          <w:tcPr>
            <w:tcW w:w="1332" w:type="dxa"/>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sz w:val="18"/>
                <w:szCs w:val="20"/>
                <w:lang w:bidi="ar-SA"/>
              </w:rPr>
            </w:pPr>
            <w:r>
              <w:rPr>
                <w:rFonts w:eastAsia="Times New Roman" w:ascii="Cambria" w:hAnsi="Cambria"/>
                <w:sz w:val="18"/>
                <w:szCs w:val="20"/>
                <w:lang w:bidi="ar-SA"/>
              </w:rPr>
              <w:t>100%</w:t>
            </w:r>
          </w:p>
        </w:tc>
        <w:tc>
          <w:tcPr>
            <w:tcW w:w="20" w:type="dxa"/>
            <w:gridSpan w:val="2"/>
            <w:tcBorders>
              <w:top w:val="single" w:sz="4" w:space="0" w:color="000000"/>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sz w:val="18"/>
                <w:szCs w:val="20"/>
                <w:lang w:bidi="ar-SA"/>
              </w:rPr>
            </w:pPr>
            <w:r>
              <w:rPr>
                <w:rFonts w:eastAsia="Times New Roman" w:ascii="Cambria" w:hAnsi="Cambria"/>
                <w:b/>
                <w:sz w:val="18"/>
                <w:szCs w:val="20"/>
                <w:lang w:bidi="ar-SA"/>
              </w:rPr>
            </w:r>
          </w:p>
        </w:tc>
      </w:tr>
    </w:tbl>
    <w:p>
      <w:pPr>
        <w:pStyle w:val="Normal"/>
        <w:spacing w:before="120" w:after="120"/>
        <w:ind w:right="134" w:hanging="0"/>
        <w:jc w:val="both"/>
        <w:rPr>
          <w:rFonts w:ascii="Cambria" w:hAnsi="Cambria"/>
          <w:sz w:val="20"/>
          <w:szCs w:val="20"/>
        </w:rPr>
      </w:pPr>
      <w:r>
        <w:rPr>
          <w:rFonts w:ascii="Cambria" w:hAnsi="Cambria"/>
          <w:sz w:val="20"/>
          <w:szCs w:val="20"/>
        </w:rPr>
        <w:t>Единоличным исполнительным органом Компании является управляющая организация  акционерное общество Научно-производственное объединение «ЭЛАС»: место нахождения:</w:t>
      </w:r>
      <w:r>
        <w:rPr>
          <w:rFonts w:ascii="Cambria" w:hAnsi="Cambria"/>
          <w:bCs/>
          <w:iCs/>
          <w:sz w:val="20"/>
          <w:szCs w:val="20"/>
        </w:rPr>
        <w:t xml:space="preserve"> 124460, Москва, Зеленоград, ул Конструктора Гуськова, д 1, стр 1; </w:t>
      </w:r>
      <w:r>
        <w:rPr>
          <w:rFonts w:ascii="Cambria" w:hAnsi="Cambria"/>
          <w:sz w:val="20"/>
          <w:szCs w:val="20"/>
        </w:rPr>
        <w:t>ИНН:</w:t>
      </w:r>
      <w:r>
        <w:rPr>
          <w:rFonts w:ascii="Cambria" w:hAnsi="Cambria"/>
          <w:bCs/>
          <w:iCs/>
          <w:sz w:val="20"/>
          <w:szCs w:val="20"/>
        </w:rPr>
        <w:t xml:space="preserve"> 7735560202; </w:t>
      </w:r>
      <w:r>
        <w:rPr>
          <w:rFonts w:ascii="Cambria" w:hAnsi="Cambria"/>
          <w:sz w:val="20"/>
          <w:szCs w:val="20"/>
        </w:rPr>
        <w:t>ОГРН:</w:t>
      </w:r>
      <w:r>
        <w:rPr>
          <w:rFonts w:ascii="Cambria" w:hAnsi="Cambria"/>
          <w:b/>
          <w:bCs/>
          <w:i/>
          <w:iCs/>
          <w:sz w:val="20"/>
          <w:szCs w:val="20"/>
        </w:rPr>
        <w:t xml:space="preserve"> </w:t>
      </w:r>
      <w:r>
        <w:rPr>
          <w:rFonts w:ascii="Cambria" w:hAnsi="Cambria"/>
          <w:bCs/>
          <w:iCs/>
          <w:sz w:val="20"/>
          <w:szCs w:val="20"/>
        </w:rPr>
        <w:t>1097746308549</w:t>
      </w:r>
      <w:r>
        <w:rPr>
          <w:rFonts w:ascii="Cambria" w:hAnsi="Cambria"/>
          <w:sz w:val="20"/>
          <w:szCs w:val="20"/>
        </w:rPr>
        <w:t xml:space="preserve">  (протокол  общего собрания акционеров № 24 от 06.05.2015).</w:t>
      </w:r>
    </w:p>
    <w:p>
      <w:pPr>
        <w:pStyle w:val="Normal"/>
        <w:spacing w:before="120" w:after="120"/>
        <w:ind w:right="134" w:hanging="0"/>
        <w:jc w:val="both"/>
        <w:rPr>
          <w:rFonts w:ascii="Cambria" w:hAnsi="Cambria"/>
          <w:sz w:val="20"/>
          <w:szCs w:val="20"/>
        </w:rPr>
      </w:pPr>
      <w:r>
        <w:rPr>
          <w:rFonts w:ascii="Cambria" w:hAnsi="Cambria"/>
          <w:sz w:val="20"/>
          <w:szCs w:val="20"/>
        </w:rPr>
        <w:t>АО НПО «ЭЛАС» не является акционером Компании.</w:t>
      </w:r>
    </w:p>
    <w:p>
      <w:pPr>
        <w:pStyle w:val="ListParagraph"/>
        <w:spacing w:before="120" w:after="120"/>
        <w:ind w:left="432" w:right="136" w:hanging="0"/>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r>
    </w:p>
    <w:p>
      <w:pPr>
        <w:pStyle w:val="ListParagraph"/>
        <w:spacing w:before="120" w:after="120"/>
        <w:ind w:left="432" w:right="136" w:hanging="0"/>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r>
    </w:p>
    <w:p>
      <w:pPr>
        <w:pStyle w:val="ListParagraph"/>
        <w:numPr>
          <w:ilvl w:val="1"/>
          <w:numId w:val="3"/>
        </w:numPr>
        <w:spacing w:before="120" w:after="120"/>
        <w:ind w:left="432" w:right="136" w:hanging="432"/>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t>Условия осуществления хозяйственной деятельности</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Группа осуществляет свою деятельность преимущественно в Российской Федерации. Соответственно, на бизнес Группы оказывают влияние экономика и финансовые рынки Российской Федерации, которым присущи особенности развивающегося рынка. Правовая, налоговая и регуляторная системы продолжают развиваться, однако сопряжены с риском неоднозначности толкования их требований, которые к тому же подвержены частым изменениям, что вкупе с другими юридическими и фискальными преградами создает дополнительные проблемы для предприятий, ведущих бизнес в Российской Федерации.</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Конфликт на Украине и связанные с ним события привели к пересмотру оценок рисков ведения бизнеса в Российской Федерации в сторону увеличения. Введение экономических санкций в отношении российских граждан и юридических лиц со стороны Европейского Союза, Соединенных Штатов Америки, Японии, Канады, Австралии и других стран, а также ответных санкций, введенных правительством Российской Федерации, привело к увеличению экономической неопределенности, в том числе большей волатильности на рынках капитала, падению курса российского рубля, сокращению объема иностранных и внутренних прямых инвестиций, а также существенному снижению доступности источников долгового финансирования. В частности, некоторые российские компании могут испытывать сложности при получении доступа к международному фондовому рынку и рынку заемного капитала, что может привести к усилению их зависимости от российских государственных банков. Оценить последствия введенных санкций и угрозы введения новых санкций в будущем в долгосрочной перспективе представляется затруднительным.</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Представленная консолидированная финансовая отчетность отражает точку зрения руководства на то, какое влияние оказывают условия ведения бизнеса в Российской Федерации на деятельность и финансовое положение Группы. Фактическое влияние будущих условий хозяйствования может отличаться от оценок их руководством.</w:t>
      </w:r>
    </w:p>
    <w:p>
      <w:pPr>
        <w:pStyle w:val="ListParagraph"/>
        <w:keepLines/>
        <w:numPr>
          <w:ilvl w:val="0"/>
          <w:numId w:val="3"/>
        </w:numPr>
        <w:spacing w:before="120" w:after="120"/>
        <w:ind w:left="360" w:right="136" w:hanging="360"/>
        <w:contextualSpacing/>
        <w:outlineLvl w:val="0"/>
        <w:rPr>
          <w:rFonts w:ascii="Cambria" w:hAnsi="Cambria" w:eastAsia="Times New Roman" w:cs="Arial"/>
          <w:b/>
          <w:b/>
          <w:bCs/>
          <w:kern w:val="2"/>
          <w:szCs w:val="20"/>
        </w:rPr>
      </w:pPr>
      <w:bookmarkStart w:id="8" w:name="_Toc511723870"/>
      <w:bookmarkStart w:id="9" w:name="_Toc484002984"/>
      <w:r>
        <w:rPr>
          <w:rFonts w:eastAsia="Times New Roman" w:cs="Arial" w:ascii="Cambria" w:hAnsi="Cambria"/>
          <w:b/>
          <w:bCs/>
          <w:kern w:val="2"/>
          <w:szCs w:val="20"/>
        </w:rPr>
        <w:t>ОСНОВЫ УЧЕТА</w:t>
      </w:r>
      <w:bookmarkStart w:id="10" w:name="bookmark1"/>
      <w:bookmarkEnd w:id="8"/>
      <w:bookmarkEnd w:id="9"/>
      <w:bookmarkEnd w:id="10"/>
    </w:p>
    <w:p>
      <w:pPr>
        <w:pStyle w:val="ListParagraph"/>
        <w:numPr>
          <w:ilvl w:val="0"/>
          <w:numId w:val="3"/>
        </w:numPr>
        <w:spacing w:before="120" w:after="120"/>
        <w:ind w:left="360" w:right="136" w:hanging="360"/>
        <w:jc w:val="both"/>
        <w:rPr>
          <w:rFonts w:ascii="Cambria" w:hAnsi="Cambria" w:eastAsia="Times New Roman" w:cs="Arial"/>
          <w:b/>
          <w:b/>
          <w:vanish/>
          <w:sz w:val="20"/>
          <w:szCs w:val="20"/>
          <w:lang w:eastAsia="en-US" w:bidi="ar-SA"/>
        </w:rPr>
      </w:pPr>
      <w:r>
        <w:rPr>
          <w:rFonts w:eastAsia="Times New Roman" w:cs="Arial" w:ascii="Cambria" w:hAnsi="Cambria"/>
          <w:b/>
          <w:vanish/>
          <w:sz w:val="20"/>
          <w:szCs w:val="20"/>
          <w:lang w:eastAsia="en-US" w:bidi="ar-SA"/>
        </w:rPr>
      </w:r>
    </w:p>
    <w:p>
      <w:pPr>
        <w:pStyle w:val="ListParagraph"/>
        <w:numPr>
          <w:ilvl w:val="1"/>
          <w:numId w:val="5"/>
        </w:numPr>
        <w:spacing w:before="120" w:after="120"/>
        <w:ind w:left="360" w:right="136" w:hanging="360"/>
        <w:contextualSpacing/>
        <w:jc w:val="both"/>
        <w:rPr>
          <w:rFonts w:ascii="Cambria" w:hAnsi="Cambria" w:eastAsia="Times New Roman" w:cs="Arial"/>
          <w:sz w:val="20"/>
          <w:szCs w:val="20"/>
          <w:lang w:eastAsia="en-US" w:bidi="ar-SA"/>
        </w:rPr>
      </w:pPr>
      <w:r>
        <w:rPr>
          <w:rFonts w:eastAsia="Times New Roman" w:cs="Arial" w:ascii="Cambria" w:hAnsi="Cambria"/>
          <w:b/>
          <w:sz w:val="20"/>
          <w:szCs w:val="20"/>
          <w:lang w:eastAsia="en-US" w:bidi="ar-SA"/>
        </w:rPr>
        <w:t xml:space="preserve"> </w:t>
      </w:r>
      <w:r>
        <w:rPr>
          <w:rFonts w:eastAsia="Times New Roman" w:cs="Arial" w:ascii="Cambria" w:hAnsi="Cambria"/>
          <w:b/>
          <w:sz w:val="20"/>
          <w:szCs w:val="20"/>
          <w:lang w:eastAsia="en-US" w:bidi="ar-SA"/>
        </w:rPr>
        <w:t>Заявление о соответствии МСФО</w:t>
      </w:r>
    </w:p>
    <w:p>
      <w:pPr>
        <w:pStyle w:val="Style23"/>
        <w:suppressAutoHyphens w:val="true"/>
        <w:spacing w:before="120" w:after="120"/>
        <w:jc w:val="both"/>
        <w:rPr>
          <w:rFonts w:ascii="Cambria" w:hAnsi="Cambria"/>
          <w:sz w:val="20"/>
          <w:szCs w:val="20"/>
          <w:lang w:val="ru-RU"/>
        </w:rPr>
      </w:pPr>
      <w:r>
        <w:rPr>
          <w:rFonts w:ascii="Cambria" w:hAnsi="Cambria"/>
          <w:sz w:val="20"/>
          <w:szCs w:val="20"/>
          <w:lang w:val="ru-RU"/>
        </w:rPr>
        <w:t>Компания готовит первую консолидированную финансовую отчетность в соответствии с Международными стандартами финансовой отчетности (МСФО) за год, закончившийся 31 декабря 2018 года.</w:t>
      </w:r>
    </w:p>
    <w:p>
      <w:pPr>
        <w:pStyle w:val="Style23"/>
        <w:suppressAutoHyphens w:val="true"/>
        <w:spacing w:before="120" w:after="120"/>
        <w:jc w:val="both"/>
        <w:rPr>
          <w:rFonts w:ascii="Cambria" w:hAnsi="Cambria"/>
          <w:sz w:val="20"/>
          <w:szCs w:val="20"/>
          <w:lang w:val="ru-RU"/>
        </w:rPr>
      </w:pPr>
      <w:r>
        <w:rPr>
          <w:rFonts w:ascii="Cambria" w:hAnsi="Cambria"/>
          <w:sz w:val="20"/>
          <w:szCs w:val="20"/>
          <w:lang w:val="ru-RU"/>
        </w:rPr>
        <w:t>Датой перехода на МСФО является дата 01 января 2017 года. Компания не готовила ранее консолидированную финансовую отчетность по МСФО или по иным общепризнанным стандартам бухгалтерского учета. поэтому сверка по разделу «Капитал» в соответствии с МСФО (</w:t>
      </w:r>
      <w:r>
        <w:rPr>
          <w:rFonts w:ascii="Cambria" w:hAnsi="Cambria"/>
          <w:sz w:val="20"/>
          <w:szCs w:val="20"/>
          <w:lang w:val="en-US"/>
        </w:rPr>
        <w:t>IFRS</w:t>
      </w:r>
      <w:r>
        <w:rPr>
          <w:rFonts w:ascii="Cambria" w:hAnsi="Cambria"/>
          <w:sz w:val="20"/>
          <w:szCs w:val="20"/>
          <w:lang w:val="ru-RU"/>
        </w:rPr>
        <w:t>) 1 «Первое применение Международных стандартов финансовой отчетности», не производилась.</w:t>
      </w:r>
    </w:p>
    <w:p>
      <w:pPr>
        <w:pStyle w:val="Style23"/>
        <w:suppressAutoHyphens w:val="true"/>
        <w:spacing w:before="120" w:after="120"/>
        <w:jc w:val="both"/>
        <w:rPr>
          <w:rFonts w:ascii="Cambria" w:hAnsi="Cambria"/>
          <w:sz w:val="20"/>
          <w:szCs w:val="20"/>
          <w:lang w:val="ru-RU"/>
        </w:rPr>
      </w:pPr>
      <w:r>
        <w:rPr>
          <w:rFonts w:ascii="Cambria" w:hAnsi="Cambria"/>
          <w:sz w:val="20"/>
          <w:szCs w:val="20"/>
          <w:lang w:val="ru-RU"/>
        </w:rPr>
      </w:r>
    </w:p>
    <w:p>
      <w:pPr>
        <w:pStyle w:val="Style23"/>
        <w:suppressAutoHyphens w:val="true"/>
        <w:spacing w:before="120" w:after="120"/>
        <w:jc w:val="both"/>
        <w:rPr>
          <w:rFonts w:ascii="Cambria" w:hAnsi="Cambria"/>
          <w:sz w:val="20"/>
          <w:szCs w:val="20"/>
          <w:lang w:val="ru-RU"/>
        </w:rPr>
      </w:pPr>
      <w:r>
        <w:rPr>
          <w:rFonts w:ascii="Cambria" w:hAnsi="Cambria"/>
          <w:sz w:val="20"/>
          <w:szCs w:val="20"/>
          <w:lang w:val="ru-RU"/>
        </w:rPr>
        <w:t xml:space="preserve">При подготовке данной первой консолидированной финансовую финансовой отчетности по МСФО руководство использовало Стандарты и Интерпретации, которые вступили в силу по состоянию на 01 января 2018 года. </w:t>
      </w:r>
    </w:p>
    <w:p>
      <w:pPr>
        <w:pStyle w:val="Style23"/>
        <w:suppressAutoHyphens w:val="true"/>
        <w:spacing w:before="120" w:after="120"/>
        <w:jc w:val="both"/>
        <w:rPr>
          <w:rFonts w:ascii="Cambria" w:hAnsi="Cambria"/>
          <w:sz w:val="20"/>
          <w:szCs w:val="20"/>
          <w:lang w:val="ru-RU"/>
        </w:rPr>
      </w:pPr>
      <w:r>
        <w:rPr>
          <w:rFonts w:ascii="Cambria" w:hAnsi="Cambria"/>
          <w:sz w:val="20"/>
          <w:szCs w:val="20"/>
          <w:lang w:val="ru-RU"/>
        </w:rPr>
        <w:t>МСФО включают стандарты и интерпретации, одобренные Советом по международным стандартам финансовой отчетности (СМСФО), включая международные стандарты бухгалтерского учета (МСБУ), и интерпретации, выпущенные Комитетом по интерпретациям международной финансовой отчетности (КИМСФО). Правила первого применения МСФО разъяснены в МСФО (IFRS) 1 «Первое применение Международных стандартов финансовой отчетности». В соответствии с МСФО (IFRS) 1 Компания должна использовать одинаковую учетную политику для своего входящего баланса и для всех периодов, представленных как сравнительная информация в своей первой финансовой отчетности, полностью составленной в соответствии с МСФО.</w:t>
      </w:r>
    </w:p>
    <w:p>
      <w:pPr>
        <w:pStyle w:val="Style23"/>
        <w:suppressAutoHyphens w:val="true"/>
        <w:spacing w:before="120" w:after="120"/>
        <w:jc w:val="both"/>
        <w:rPr>
          <w:rFonts w:ascii="Cambria" w:hAnsi="Cambria"/>
          <w:sz w:val="20"/>
          <w:szCs w:val="20"/>
          <w:lang w:val="ru-RU"/>
        </w:rPr>
      </w:pPr>
      <w:r>
        <w:rPr>
          <w:rFonts w:ascii="Cambria" w:hAnsi="Cambria"/>
          <w:sz w:val="20"/>
          <w:szCs w:val="20"/>
          <w:lang w:val="ru-RU"/>
        </w:rPr>
        <w:t>Финансовая отчетность подготовлена на основе правил учета по первоначальной стоимости, за исключением финансовых инструментов, оцениваемых по справедливой стоимости через прибыль или убыток, которые учитываются по справедливой стоимости.</w:t>
      </w:r>
    </w:p>
    <w:p>
      <w:pPr>
        <w:pStyle w:val="Style23"/>
        <w:suppressAutoHyphens w:val="true"/>
        <w:spacing w:before="120" w:after="120"/>
        <w:jc w:val="both"/>
        <w:rPr>
          <w:rFonts w:ascii="Cambria" w:hAnsi="Cambria"/>
          <w:sz w:val="20"/>
          <w:szCs w:val="20"/>
          <w:lang w:val="ru-RU"/>
        </w:rPr>
      </w:pPr>
      <w:r>
        <w:rPr>
          <w:rFonts w:ascii="Cambria" w:hAnsi="Cambria"/>
          <w:sz w:val="20"/>
          <w:szCs w:val="20"/>
          <w:lang w:val="ru-RU"/>
        </w:rPr>
        <w:t xml:space="preserve">Принципы учетной политики, изложенные ниже, применены при подготовке консолидированной финансовой отчетности за год, закончившийся 31 декабря 2018 г., а также при подготовке сравнительной информации. </w:t>
      </w:r>
    </w:p>
    <w:p>
      <w:pPr>
        <w:pStyle w:val="Normal"/>
        <w:spacing w:before="120" w:after="120"/>
        <w:ind w:right="136" w:hanging="0"/>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t xml:space="preserve">2.2  Функциональная валюта и валюта представления отчетности </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Статьи, включенные в данную консолидированную финансовую отчетность каждого из предприятий Группы, измеряются в валюте первичной экономической среды, в которой предприятие функционирует («функциональная валюта»). Функциональной валютой Группы является российский рубль («руб.»). Валютой представления настоящей консолидированной финансовой отчетности Группы является российский рубль. Все значения округлены до целых тыс. руб., если не указано иное.</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Принципы учетной политики, использованные при подготовке данной консолидированной финансовой отчетности, представлены ниже. Данные принципы применялись последовательно в отношении всех периодов, представленных в данной финансовой отчетности, если не указано иное. </w:t>
      </w:r>
    </w:p>
    <w:p>
      <w:pPr>
        <w:pStyle w:val="ListParagraph"/>
        <w:spacing w:before="120" w:after="120"/>
        <w:ind w:left="432" w:right="136" w:hanging="0"/>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r>
    </w:p>
    <w:p>
      <w:pPr>
        <w:pStyle w:val="ListParagraph"/>
        <w:numPr>
          <w:ilvl w:val="1"/>
          <w:numId w:val="5"/>
        </w:numPr>
        <w:spacing w:before="120" w:after="120"/>
        <w:ind w:left="360" w:right="136" w:hanging="360"/>
        <w:contextualSpacing/>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t xml:space="preserve"> </w:t>
      </w:r>
      <w:r>
        <w:rPr>
          <w:rFonts w:eastAsia="Times New Roman" w:cs="Arial" w:ascii="Cambria" w:hAnsi="Cambria"/>
          <w:b/>
          <w:sz w:val="20"/>
          <w:szCs w:val="20"/>
          <w:lang w:eastAsia="en-US" w:bidi="ar-SA"/>
        </w:rPr>
        <w:t>Непрерывность деятельности</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Данная консолидированная финансовая отчетность подготовлена на основе принципа непрерывности деятельности, который предполагает, что Группа будет реализовывать свои активы и погашать настоящие и будущие обязательства в ходе обычной деятельности, и у нее отсутствует намерение ликвидации или существенного сокращения деятельности.</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r>
    </w:p>
    <w:p>
      <w:pPr>
        <w:pStyle w:val="ListParagraph"/>
        <w:keepLines/>
        <w:numPr>
          <w:ilvl w:val="0"/>
          <w:numId w:val="6"/>
        </w:numPr>
        <w:spacing w:before="120" w:after="120"/>
        <w:ind w:left="720" w:right="136" w:hanging="360"/>
        <w:contextualSpacing/>
        <w:outlineLvl w:val="0"/>
        <w:rPr>
          <w:rFonts w:ascii="Cambria" w:hAnsi="Cambria" w:eastAsia="Times New Roman" w:cs="Arial"/>
          <w:b/>
          <w:b/>
          <w:bCs/>
          <w:kern w:val="2"/>
          <w:szCs w:val="20"/>
        </w:rPr>
      </w:pPr>
      <w:bookmarkStart w:id="11" w:name="_Toc511723871"/>
      <w:bookmarkStart w:id="12" w:name="_Toc484002985"/>
      <w:bookmarkStart w:id="13" w:name="_Toc478735849"/>
      <w:bookmarkStart w:id="14" w:name="_Toc325569504"/>
      <w:bookmarkStart w:id="15" w:name="_Toc199072417"/>
      <w:r>
        <w:rPr>
          <w:rFonts w:eastAsia="Times New Roman" w:cs="Arial" w:ascii="Cambria" w:hAnsi="Cambria"/>
          <w:b/>
          <w:bCs/>
          <w:kern w:val="2"/>
          <w:szCs w:val="20"/>
        </w:rPr>
        <w:t>КРАТКОЕ ИЗЛОЖЕНИЕ ПРИНЦИПОВ УЧЕТНОЙ ПОЛИТИКИ</w:t>
      </w:r>
      <w:bookmarkEnd w:id="11"/>
      <w:bookmarkEnd w:id="12"/>
      <w:bookmarkEnd w:id="13"/>
      <w:bookmarkEnd w:id="14"/>
      <w:bookmarkEnd w:id="15"/>
    </w:p>
    <w:p>
      <w:pPr>
        <w:pStyle w:val="Normal"/>
        <w:spacing w:before="120" w:after="120"/>
        <w:ind w:right="136" w:hanging="0"/>
        <w:jc w:val="both"/>
        <w:rPr>
          <w:rFonts w:ascii="Cambria" w:hAnsi="Cambria" w:eastAsia="Times New Roman" w:cs="Arial"/>
          <w:sz w:val="20"/>
          <w:szCs w:val="20"/>
          <w:lang w:eastAsia="en-US" w:bidi="ar-SA"/>
        </w:rPr>
      </w:pPr>
      <w:r>
        <w:rPr>
          <w:rFonts w:eastAsia="PMingLiU" w:ascii="Cambria" w:hAnsi="Cambria"/>
          <w:b/>
          <w:sz w:val="20"/>
          <w:szCs w:val="20"/>
          <w:lang w:bidi="ar-SA"/>
        </w:rPr>
        <w:t>Принцип консолидации.</w:t>
      </w:r>
      <w:r>
        <w:rPr>
          <w:rFonts w:eastAsia="PMingLiU" w:ascii="Cambria" w:hAnsi="Cambria"/>
          <w:sz w:val="20"/>
          <w:szCs w:val="20"/>
          <w:lang w:bidi="ar-SA"/>
        </w:rPr>
        <w:t xml:space="preserve"> </w:t>
      </w:r>
      <w:r>
        <w:rPr>
          <w:rFonts w:eastAsia="Times New Roman" w:cs="Arial" w:ascii="Cambria" w:hAnsi="Cambria"/>
          <w:sz w:val="20"/>
          <w:szCs w:val="20"/>
          <w:lang w:eastAsia="en-US" w:bidi="ar-SA"/>
        </w:rPr>
        <w:t>Настоящая консолидированная финансовая отчетность включает финансовую отчетность Компании и предприятий, контролируемых ею. Предприятие считается контролируемым в случае, если Компания:</w:t>
      </w:r>
    </w:p>
    <w:p>
      <w:pPr>
        <w:pStyle w:val="ListParagraph"/>
        <w:numPr>
          <w:ilvl w:val="0"/>
          <w:numId w:val="4"/>
        </w:numPr>
        <w:spacing w:before="120" w:after="120"/>
        <w:ind w:left="714" w:right="136" w:hanging="357"/>
        <w:jc w:val="both"/>
        <w:rPr>
          <w:rFonts w:ascii="Cambria" w:hAnsi="Cambria" w:eastAsia="Times New Roman" w:cs="Arial"/>
          <w:sz w:val="20"/>
          <w:szCs w:val="20"/>
          <w:lang w:eastAsia="en-GB"/>
        </w:rPr>
      </w:pPr>
      <w:r>
        <w:rPr>
          <w:rFonts w:eastAsia="Times New Roman" w:cs="Arial" w:ascii="Cambria" w:hAnsi="Cambria"/>
          <w:sz w:val="20"/>
          <w:szCs w:val="20"/>
          <w:lang w:eastAsia="en-GB"/>
        </w:rPr>
        <w:t>имеет властные полномочия в отношении предприятия – объекта инвестиций;</w:t>
      </w:r>
    </w:p>
    <w:p>
      <w:pPr>
        <w:pStyle w:val="ListParagraph"/>
        <w:numPr>
          <w:ilvl w:val="0"/>
          <w:numId w:val="4"/>
        </w:numPr>
        <w:spacing w:before="120" w:after="120"/>
        <w:ind w:left="714" w:right="136" w:hanging="357"/>
        <w:jc w:val="both"/>
        <w:rPr>
          <w:rFonts w:ascii="Cambria" w:hAnsi="Cambria" w:eastAsia="Times New Roman" w:cs="Arial"/>
          <w:sz w:val="20"/>
          <w:szCs w:val="20"/>
          <w:lang w:eastAsia="en-GB"/>
        </w:rPr>
      </w:pPr>
      <w:r>
        <w:rPr>
          <w:rFonts w:eastAsia="Times New Roman" w:cs="Arial" w:ascii="Cambria" w:hAnsi="Cambria"/>
          <w:sz w:val="20"/>
          <w:szCs w:val="20"/>
          <w:lang w:eastAsia="en-GB"/>
        </w:rPr>
        <w:t xml:space="preserve">имеет права/несет риски по переменным результатам деятельности предприятия – объекта инвестиций; и </w:t>
      </w:r>
    </w:p>
    <w:p>
      <w:pPr>
        <w:pStyle w:val="ListParagraph"/>
        <w:numPr>
          <w:ilvl w:val="0"/>
          <w:numId w:val="4"/>
        </w:numPr>
        <w:spacing w:before="120" w:after="120"/>
        <w:ind w:left="714" w:right="136" w:hanging="357"/>
        <w:jc w:val="both"/>
        <w:rPr>
          <w:rFonts w:ascii="Cambria" w:hAnsi="Cambria" w:eastAsia="Times New Roman" w:cs="Arial"/>
          <w:sz w:val="20"/>
          <w:szCs w:val="20"/>
          <w:lang w:eastAsia="en-GB"/>
        </w:rPr>
      </w:pPr>
      <w:r>
        <w:rPr>
          <w:rFonts w:eastAsia="Times New Roman" w:cs="Arial" w:ascii="Cambria" w:hAnsi="Cambria"/>
          <w:sz w:val="20"/>
          <w:szCs w:val="20"/>
          <w:lang w:eastAsia="en-GB"/>
        </w:rPr>
        <w:t>может использовать властные полномочия в отношении предприятия-объекта инвестиций с целью воздействия на величину переменного результата.</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Объединения предприятий, произошедшие в отношении других компаний Группы, отражены в данной финансовой отчетности методом покупки в соответствии с МСФО (IFRS) 3.</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Компания проводит оценку наличия у нее контроля над объектом инвестиций, если факты и обстоятельства указывают на то, что произошли изменения в одном или более из трех элементов контроля, перечисленных выше. </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Если Компании не принадлежит большинство голосующих акций объекта инвестиций, то она имеет властные полномочия в отношении предприятия – объекта инвестиций в случае, когда Компании принадлежит достаточно прав голоса, чтобы предоставить ей возможность единолично управлять значимой деятельностью предприятия – объекта инвестиций. Компания рассматривает все значимые факты и обстоятельства при оценке того, достаточно ли у Компании прав голоса, чтобы обладать полномочиями влиять на предприятие - объект инвестиций, включая: </w:t>
      </w:r>
    </w:p>
    <w:p>
      <w:pPr>
        <w:pStyle w:val="ListParagraph"/>
        <w:numPr>
          <w:ilvl w:val="0"/>
          <w:numId w:val="4"/>
        </w:numPr>
        <w:spacing w:before="120" w:after="120"/>
        <w:ind w:left="714" w:right="136" w:hanging="357"/>
        <w:jc w:val="both"/>
        <w:rPr>
          <w:rFonts w:ascii="Cambria" w:hAnsi="Cambria" w:eastAsia="Times New Roman" w:cs="Arial"/>
          <w:sz w:val="20"/>
          <w:szCs w:val="20"/>
          <w:lang w:eastAsia="en-GB"/>
        </w:rPr>
      </w:pPr>
      <w:r>
        <w:rPr>
          <w:rFonts w:eastAsia="Times New Roman" w:cs="Arial" w:ascii="Cambria" w:hAnsi="Cambria"/>
          <w:sz w:val="20"/>
          <w:szCs w:val="20"/>
          <w:lang w:eastAsia="en-GB"/>
        </w:rPr>
        <w:t xml:space="preserve">долю акций Компании с правом голоса по сравнению с долей и распределением голосов других держателей; </w:t>
      </w:r>
    </w:p>
    <w:p>
      <w:pPr>
        <w:pStyle w:val="ListParagraph"/>
        <w:numPr>
          <w:ilvl w:val="0"/>
          <w:numId w:val="4"/>
        </w:numPr>
        <w:spacing w:before="120" w:after="120"/>
        <w:ind w:left="714" w:right="136" w:hanging="357"/>
        <w:jc w:val="both"/>
        <w:rPr>
          <w:rFonts w:ascii="Cambria" w:hAnsi="Cambria" w:eastAsia="Times New Roman" w:cs="Arial"/>
          <w:sz w:val="20"/>
          <w:szCs w:val="20"/>
          <w:lang w:eastAsia="en-GB"/>
        </w:rPr>
      </w:pPr>
      <w:r>
        <w:rPr>
          <w:rFonts w:eastAsia="Times New Roman" w:cs="Arial" w:ascii="Cambria" w:hAnsi="Cambria"/>
          <w:sz w:val="20"/>
          <w:szCs w:val="20"/>
          <w:lang w:eastAsia="en-GB"/>
        </w:rPr>
        <w:t xml:space="preserve">потенциальные права голоса, принадлежащие Компании, другим держателям голосов или другим сторонам; </w:t>
      </w:r>
    </w:p>
    <w:p>
      <w:pPr>
        <w:pStyle w:val="ListParagraph"/>
        <w:numPr>
          <w:ilvl w:val="0"/>
          <w:numId w:val="4"/>
        </w:numPr>
        <w:spacing w:before="120" w:after="120"/>
        <w:ind w:left="714" w:right="136" w:hanging="357"/>
        <w:jc w:val="both"/>
        <w:rPr>
          <w:rFonts w:ascii="Cambria" w:hAnsi="Cambria" w:eastAsia="Times New Roman" w:cs="Arial"/>
          <w:sz w:val="20"/>
          <w:szCs w:val="20"/>
          <w:lang w:eastAsia="en-GB"/>
        </w:rPr>
      </w:pPr>
      <w:r>
        <w:rPr>
          <w:rFonts w:eastAsia="Times New Roman" w:cs="Arial" w:ascii="Cambria" w:hAnsi="Cambria"/>
          <w:sz w:val="20"/>
          <w:szCs w:val="20"/>
          <w:lang w:eastAsia="en-GB"/>
        </w:rPr>
        <w:t xml:space="preserve">права, вытекающие из других договорных соглашений; и </w:t>
      </w:r>
    </w:p>
    <w:p>
      <w:pPr>
        <w:pStyle w:val="ListParagraph"/>
        <w:keepLines/>
        <w:numPr>
          <w:ilvl w:val="0"/>
          <w:numId w:val="4"/>
        </w:numPr>
        <w:spacing w:before="120" w:after="120"/>
        <w:ind w:left="714" w:right="136" w:hanging="357"/>
        <w:jc w:val="both"/>
        <w:rPr>
          <w:rFonts w:ascii="Cambria" w:hAnsi="Cambria" w:eastAsia="Times New Roman" w:cs="Arial"/>
          <w:sz w:val="20"/>
          <w:szCs w:val="20"/>
          <w:lang w:eastAsia="en-GB"/>
        </w:rPr>
      </w:pPr>
      <w:r>
        <w:rPr>
          <w:rFonts w:eastAsia="Times New Roman" w:cs="Arial" w:ascii="Cambria" w:hAnsi="Cambria"/>
          <w:sz w:val="20"/>
          <w:szCs w:val="20"/>
          <w:lang w:eastAsia="en-GB"/>
        </w:rPr>
        <w:t xml:space="preserve">любые дополнительные факты и обстоятельства, указывающие на то, что Компания имеет или не имеет возможность в настоящее время управлять значимой деятельностью в момент, когда необходимо принять управленческое решение, в том числе, распределение голосов </w:t>
        <w:br/>
        <w:t xml:space="preserve">на предыдущих собраниях акционеров. </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Консолидация дочернего предприятия начинается тогда, когда Компания получает контроль над дочерним предприятием и прекращается в момент утраты контроля над ним. В частности, доходы и расходы дочернего предприятия, приобретенного или проданного в течение года, включаются в консолидированный отчет о прибылях или убытках и прочем совокупном доходе с момента получения Компанией контроля и до даты, на которую Компания перестает контролировать это дочернее предприятие. </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Прибыль или убыток и каждый компонент прочего совокупного дохода распределяется между акционерами Компании и неконтролирующими долями (далее – «НД»). Общий совокупный доход дочерних предприятий распределяется между акционерами Компании и неконтролирующими долями, даже если это ведет к возникновению отрицательного остатка по неконтролирующим долям. </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При необходимости в финансовую отчетность дочерних предприятий вносятся корректировки для приведения используемых ими принципов учетной политики в соответствие с принципами учетной политики Группы.</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Все внутригрупповые активы и обязательства, собственный капитал, прибыль, убытки и движение денежных средств по операциям между предприятиями Группы при консолидации исключаются. </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Изменения доли участия Группы в существующих дочерних предприятиях. Изменения долей участия Группы в дочерних предприятиях, не приводящие к потере Группой контроля над дочерними предприятиями, учитываются в собственном капитале. Балансовая стоимость долей Группы и неконтрольных долей владения в дочернем предприятии корректируется с учетом изменения соотношения этих долей. Любые разницы между суммой, на которую корректируются неконтролирующие доли, и справедливой стоимостью уплаченного или полученного вознаграждения отражаются в собственном капитале акционеров материнской компании.</w:t>
      </w:r>
    </w:p>
    <w:p>
      <w:pPr>
        <w:pStyle w:val="Normal"/>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В случае утраты Группой контроля над дочерним предприятием прибыль или убыток отражается в консолидированном отчете о прибылях или убытках и рассчитывается как разница между (1) справедливой стоимостью полученного вознаграждения и справедливой стоимостью оставшейся доли и (2) балансовой стоимостью активов (включая гудвил) и обязательств дочернего предприятия, а также неконтрольных долей. Суммы, ранее признанные в составе прочего совокупного дохода, относящиеся к такому дочернему предприятию, учитываются, как если бы Группа напрямую продала соответствующие активы или обязательства дочернего предприятия (т.е. реклассифицируются в прибыли или убытки или переводятся в другую категорию капитала, как предусмотрено/разрешено применимыми МСФО). Справедливая стоимость оставшихся инвестиций в бывшее дочернее предприятие на дату утраты контроля принимается в качестве справедливой стоимости при первоначальном признании в соответствии с Международным стандартом финансовой отчетности (МСФО (IAS)) 39, или (в применимых случаях) в качестве первоначальной стоимости инвестиций в зависимое или совместно контролируемое предприятие.</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Основные средства</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Объекты основных средств отражаются по фактической стоимости за вычетом накопленной амортизации и убытков от обесценения. Себестоимость включает в себя цену покупки, прямые расходы и расчетную приведенную стоимость любых неизбежных будущих расходов на демонтаж и вывоз оборудования или производственных строений. Соответствующие обязательства признаются в статьях резервов.</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Стоимость существенных обновлений и усовершенствований основных средств капитализируется. Затраты на обслуживание, текущий ремонт относятся на расходы по мере их возникновения.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Незначительные обновления, в результате которых не происходит качественного технического усовершенствования данного объекта, включаются в расходы в том отчетном периоде, в котором произведены.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Амортизация начисляется линейным способом с 1-го числа месяца, следующего за месяцем ввода </w:t>
        <w:br/>
        <w:t>в эксплуатацию, и прекращает начисляться в месяце, следующем после выбытия объекта.</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Каждый компонент сложного объекта основных средств, первоначальная стоимость которого значительна (более 25%) в сравнении с совокупной себестоимостью объекта, амортизируется отдельно.</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В таблице ниже приведены диапазоны сроков полезного использования объектов основных средств по группам:</w:t>
      </w:r>
    </w:p>
    <w:tbl>
      <w:tblPr>
        <w:tblW w:w="4800" w:type="pct"/>
        <w:jc w:val="center"/>
        <w:tblInd w:w="0" w:type="dxa"/>
        <w:tblBorders>
          <w:bottom w:val="single" w:sz="6" w:space="0" w:color="000000"/>
          <w:insideH w:val="single" w:sz="6" w:space="0" w:color="000000"/>
        </w:tblBorders>
        <w:tblCellMar>
          <w:top w:w="0" w:type="dxa"/>
          <w:left w:w="108" w:type="dxa"/>
          <w:bottom w:w="0" w:type="dxa"/>
          <w:right w:w="108" w:type="dxa"/>
        </w:tblCellMar>
        <w:tblLook w:firstRow="0" w:noVBand="0" w:lastRow="0" w:firstColumn="0" w:lastColumn="0" w:noHBand="0" w:val="0000"/>
      </w:tblPr>
      <w:tblGrid>
        <w:gridCol w:w="819"/>
        <w:gridCol w:w="5280"/>
        <w:gridCol w:w="2881"/>
      </w:tblGrid>
      <w:tr>
        <w:trPr>
          <w:tblHeader w:val="true"/>
          <w:trHeight w:val="183" w:hRule="atLeast"/>
        </w:trPr>
        <w:tc>
          <w:tcPr>
            <w:tcW w:w="819" w:type="dxa"/>
            <w:tcBorders>
              <w:bottom w:val="single" w:sz="6" w:space="0" w:color="000000"/>
              <w:insideH w:val="single" w:sz="6" w:space="0" w:color="000000"/>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b/>
                <w:b/>
                <w:sz w:val="18"/>
                <w:szCs w:val="20"/>
                <w:lang w:eastAsia="en-US" w:bidi="ar-SA"/>
              </w:rPr>
            </w:pPr>
            <w:r>
              <w:rPr>
                <w:rFonts w:eastAsia="Times New Roman" w:cs="Arial" w:ascii="Cambria" w:hAnsi="Cambria"/>
                <w:b/>
                <w:sz w:val="18"/>
                <w:szCs w:val="20"/>
                <w:lang w:eastAsia="en-US" w:bidi="ar-SA"/>
              </w:rPr>
              <w:t xml:space="preserve">№ </w:t>
            </w:r>
            <w:r>
              <w:rPr>
                <w:rFonts w:eastAsia="Times New Roman" w:cs="Arial" w:ascii="Cambria" w:hAnsi="Cambria"/>
                <w:b/>
                <w:sz w:val="18"/>
                <w:szCs w:val="20"/>
                <w:lang w:eastAsia="en-US" w:bidi="ar-SA"/>
              </w:rPr>
              <w:t>п/п</w:t>
            </w:r>
          </w:p>
        </w:tc>
        <w:tc>
          <w:tcPr>
            <w:tcW w:w="5280" w:type="dxa"/>
            <w:tcBorders>
              <w:bottom w:val="single" w:sz="6" w:space="0" w:color="000000"/>
              <w:insideH w:val="single" w:sz="6" w:space="0" w:color="000000"/>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b/>
                <w:b/>
                <w:sz w:val="18"/>
                <w:szCs w:val="20"/>
                <w:lang w:eastAsia="en-US" w:bidi="ar-SA"/>
              </w:rPr>
            </w:pPr>
            <w:r>
              <w:rPr>
                <w:rFonts w:eastAsia="Times New Roman" w:cs="Arial" w:ascii="Cambria" w:hAnsi="Cambria"/>
                <w:b/>
                <w:sz w:val="18"/>
                <w:szCs w:val="20"/>
                <w:lang w:eastAsia="en-US" w:bidi="ar-SA"/>
              </w:rPr>
              <w:t>Наименование группы</w:t>
            </w:r>
          </w:p>
        </w:tc>
        <w:tc>
          <w:tcPr>
            <w:tcW w:w="2881" w:type="dxa"/>
            <w:tcBorders>
              <w:bottom w:val="single" w:sz="6" w:space="0" w:color="000000"/>
              <w:insideH w:val="single" w:sz="6" w:space="0" w:color="000000"/>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b/>
                <w:b/>
                <w:sz w:val="18"/>
                <w:szCs w:val="20"/>
                <w:lang w:eastAsia="en-US" w:bidi="ar-SA"/>
              </w:rPr>
            </w:pPr>
            <w:r>
              <w:rPr>
                <w:rFonts w:eastAsia="Times New Roman" w:cs="Arial" w:ascii="Cambria" w:hAnsi="Cambria"/>
                <w:b/>
                <w:sz w:val="18"/>
                <w:szCs w:val="20"/>
                <w:lang w:eastAsia="en-US" w:bidi="ar-SA"/>
              </w:rPr>
              <w:t xml:space="preserve">Сроки полезного </w:t>
              <w:br/>
              <w:t>использования, лет</w:t>
            </w:r>
          </w:p>
        </w:tc>
      </w:tr>
      <w:tr>
        <w:trPr>
          <w:trHeight w:val="20" w:hRule="atLeast"/>
        </w:trPr>
        <w:tc>
          <w:tcPr>
            <w:tcW w:w="819"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1.</w:t>
            </w:r>
          </w:p>
        </w:tc>
        <w:tc>
          <w:tcPr>
            <w:tcW w:w="5280" w:type="dxa"/>
            <w:tcBorders/>
            <w:shd w:fill="auto" w:val="clear"/>
            <w:vAlign w:val="center"/>
          </w:tcPr>
          <w:p>
            <w:pPr>
              <w:pStyle w:val="Normal"/>
              <w:tabs>
                <w:tab w:val="clear" w:pos="720"/>
                <w:tab w:val="left" w:pos="9585" w:leader="none"/>
              </w:tabs>
              <w:suppressAutoHyphens w:val="true"/>
              <w:spacing w:before="0" w:after="120"/>
              <w:ind w:right="134" w:hanging="0"/>
              <w:rPr>
                <w:rFonts w:ascii="Cambria" w:hAnsi="Cambria" w:eastAsia="Times New Roman" w:cs="Arial"/>
                <w:sz w:val="18"/>
                <w:szCs w:val="20"/>
                <w:lang w:eastAsia="en-US" w:bidi="ar-SA"/>
              </w:rPr>
            </w:pPr>
            <w:r>
              <w:rPr>
                <w:rFonts w:eastAsia="Times New Roman" w:cs="Arial" w:ascii="Cambria" w:hAnsi="Cambria"/>
                <w:sz w:val="18"/>
                <w:szCs w:val="20"/>
                <w:lang w:eastAsia="en-US" w:bidi="ar-SA"/>
              </w:rPr>
              <w:t>Здания и сооружения</w:t>
            </w:r>
          </w:p>
        </w:tc>
        <w:tc>
          <w:tcPr>
            <w:tcW w:w="2881"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3-63</w:t>
            </w:r>
          </w:p>
        </w:tc>
      </w:tr>
      <w:tr>
        <w:trPr>
          <w:trHeight w:val="20" w:hRule="atLeast"/>
        </w:trPr>
        <w:tc>
          <w:tcPr>
            <w:tcW w:w="819"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2.</w:t>
            </w:r>
          </w:p>
        </w:tc>
        <w:tc>
          <w:tcPr>
            <w:tcW w:w="5280" w:type="dxa"/>
            <w:tcBorders/>
            <w:shd w:fill="auto" w:val="clear"/>
            <w:vAlign w:val="center"/>
          </w:tcPr>
          <w:p>
            <w:pPr>
              <w:pStyle w:val="Normal"/>
              <w:tabs>
                <w:tab w:val="clear" w:pos="720"/>
                <w:tab w:val="left" w:pos="9585" w:leader="none"/>
              </w:tabs>
              <w:suppressAutoHyphens w:val="true"/>
              <w:spacing w:before="0" w:after="120"/>
              <w:ind w:right="134" w:hanging="0"/>
              <w:rPr>
                <w:rFonts w:ascii="Cambria" w:hAnsi="Cambria" w:eastAsia="Times New Roman" w:cs="Arial"/>
                <w:sz w:val="18"/>
                <w:szCs w:val="20"/>
                <w:lang w:eastAsia="en-US" w:bidi="ar-SA"/>
              </w:rPr>
            </w:pPr>
            <w:r>
              <w:rPr>
                <w:rFonts w:eastAsia="Times New Roman" w:cs="Arial" w:ascii="Cambria" w:hAnsi="Cambria"/>
                <w:sz w:val="18"/>
                <w:szCs w:val="20"/>
                <w:lang w:eastAsia="en-US" w:bidi="ar-SA"/>
              </w:rPr>
              <w:t>Земля</w:t>
            </w:r>
          </w:p>
        </w:tc>
        <w:tc>
          <w:tcPr>
            <w:tcW w:w="2881"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Не амортизируется</w:t>
            </w:r>
          </w:p>
        </w:tc>
      </w:tr>
      <w:tr>
        <w:trPr>
          <w:trHeight w:val="20" w:hRule="atLeast"/>
        </w:trPr>
        <w:tc>
          <w:tcPr>
            <w:tcW w:w="819"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3.</w:t>
            </w:r>
          </w:p>
        </w:tc>
        <w:tc>
          <w:tcPr>
            <w:tcW w:w="5280" w:type="dxa"/>
            <w:tcBorders/>
            <w:shd w:fill="auto" w:val="clear"/>
            <w:vAlign w:val="center"/>
          </w:tcPr>
          <w:p>
            <w:pPr>
              <w:pStyle w:val="Normal"/>
              <w:tabs>
                <w:tab w:val="clear" w:pos="720"/>
                <w:tab w:val="left" w:pos="9585" w:leader="none"/>
              </w:tabs>
              <w:suppressAutoHyphens w:val="true"/>
              <w:spacing w:before="0" w:after="120"/>
              <w:ind w:right="134" w:hanging="0"/>
              <w:rPr>
                <w:rFonts w:ascii="Cambria" w:hAnsi="Cambria" w:eastAsia="Times New Roman" w:cs="Arial"/>
                <w:sz w:val="18"/>
                <w:szCs w:val="20"/>
                <w:lang w:eastAsia="en-US" w:bidi="ar-SA"/>
              </w:rPr>
            </w:pPr>
            <w:r>
              <w:rPr>
                <w:rFonts w:eastAsia="Times New Roman" w:cs="Arial" w:ascii="Cambria" w:hAnsi="Cambria"/>
                <w:sz w:val="18"/>
                <w:szCs w:val="20"/>
                <w:lang w:eastAsia="en-US" w:bidi="ar-SA"/>
              </w:rPr>
              <w:t>Машины и оборудование</w:t>
            </w:r>
          </w:p>
        </w:tc>
        <w:tc>
          <w:tcPr>
            <w:tcW w:w="2881"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4-10</w:t>
            </w:r>
          </w:p>
        </w:tc>
      </w:tr>
      <w:tr>
        <w:trPr>
          <w:trHeight w:val="20" w:hRule="atLeast"/>
        </w:trPr>
        <w:tc>
          <w:tcPr>
            <w:tcW w:w="819"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4.</w:t>
            </w:r>
          </w:p>
        </w:tc>
        <w:tc>
          <w:tcPr>
            <w:tcW w:w="5280" w:type="dxa"/>
            <w:tcBorders/>
            <w:shd w:fill="auto" w:val="clear"/>
            <w:vAlign w:val="center"/>
          </w:tcPr>
          <w:p>
            <w:pPr>
              <w:pStyle w:val="Normal"/>
              <w:tabs>
                <w:tab w:val="clear" w:pos="720"/>
                <w:tab w:val="left" w:pos="9585" w:leader="none"/>
              </w:tabs>
              <w:suppressAutoHyphens w:val="true"/>
              <w:spacing w:before="0" w:after="120"/>
              <w:ind w:right="134" w:hanging="0"/>
              <w:rPr>
                <w:rFonts w:ascii="Cambria" w:hAnsi="Cambria" w:eastAsia="Times New Roman" w:cs="Arial"/>
                <w:sz w:val="18"/>
                <w:szCs w:val="20"/>
                <w:lang w:eastAsia="en-US" w:bidi="ar-SA"/>
              </w:rPr>
            </w:pPr>
            <w:r>
              <w:rPr>
                <w:rFonts w:eastAsia="Times New Roman" w:cs="Arial" w:ascii="Cambria" w:hAnsi="Cambria"/>
                <w:sz w:val="18"/>
                <w:szCs w:val="20"/>
                <w:lang w:eastAsia="en-US" w:bidi="ar-SA"/>
              </w:rPr>
              <w:t>Транспортные средства</w:t>
            </w:r>
          </w:p>
        </w:tc>
        <w:tc>
          <w:tcPr>
            <w:tcW w:w="2881"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3-10</w:t>
            </w:r>
          </w:p>
        </w:tc>
      </w:tr>
      <w:tr>
        <w:trPr>
          <w:trHeight w:val="20" w:hRule="atLeast"/>
        </w:trPr>
        <w:tc>
          <w:tcPr>
            <w:tcW w:w="819"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5.</w:t>
            </w:r>
          </w:p>
        </w:tc>
        <w:tc>
          <w:tcPr>
            <w:tcW w:w="5280" w:type="dxa"/>
            <w:tcBorders/>
            <w:shd w:fill="auto" w:val="clear"/>
            <w:vAlign w:val="center"/>
          </w:tcPr>
          <w:p>
            <w:pPr>
              <w:pStyle w:val="Normal"/>
              <w:tabs>
                <w:tab w:val="clear" w:pos="720"/>
                <w:tab w:val="left" w:pos="9585" w:leader="none"/>
              </w:tabs>
              <w:suppressAutoHyphens w:val="true"/>
              <w:spacing w:before="0" w:after="120"/>
              <w:ind w:right="134" w:hanging="0"/>
              <w:rPr>
                <w:rFonts w:ascii="Cambria" w:hAnsi="Cambria" w:eastAsia="Times New Roman" w:cs="Arial"/>
                <w:sz w:val="18"/>
                <w:szCs w:val="20"/>
                <w:lang w:eastAsia="en-US" w:bidi="ar-SA"/>
              </w:rPr>
            </w:pPr>
            <w:r>
              <w:rPr>
                <w:rFonts w:eastAsia="Times New Roman" w:cs="Arial" w:ascii="Cambria" w:hAnsi="Cambria"/>
                <w:sz w:val="18"/>
                <w:szCs w:val="20"/>
                <w:lang w:eastAsia="en-US" w:bidi="ar-SA"/>
              </w:rPr>
              <w:t>Прочее</w:t>
            </w:r>
          </w:p>
        </w:tc>
        <w:tc>
          <w:tcPr>
            <w:tcW w:w="2881" w:type="dxa"/>
            <w:tcBorders/>
            <w:shd w:fill="auto" w:val="clear"/>
            <w:vAlign w:val="center"/>
          </w:tcPr>
          <w:p>
            <w:pPr>
              <w:pStyle w:val="Normal"/>
              <w:tabs>
                <w:tab w:val="clear" w:pos="720"/>
                <w:tab w:val="left" w:pos="9585" w:leader="none"/>
              </w:tabs>
              <w:suppressAutoHyphens w:val="true"/>
              <w:spacing w:before="0" w:after="120"/>
              <w:ind w:right="134" w:hanging="0"/>
              <w:jc w:val="center"/>
              <w:rPr>
                <w:rFonts w:ascii="Cambria" w:hAnsi="Cambria" w:eastAsia="Times New Roman" w:cs="Arial"/>
                <w:sz w:val="18"/>
                <w:szCs w:val="20"/>
                <w:lang w:eastAsia="en-US" w:bidi="ar-SA"/>
              </w:rPr>
            </w:pPr>
            <w:r>
              <w:rPr>
                <w:rFonts w:eastAsia="Times New Roman" w:cs="Arial" w:ascii="Cambria" w:hAnsi="Cambria"/>
                <w:sz w:val="18"/>
                <w:szCs w:val="20"/>
                <w:lang w:eastAsia="en-US" w:bidi="ar-SA"/>
              </w:rPr>
              <w:t>1-10</w:t>
            </w:r>
          </w:p>
        </w:tc>
      </w:tr>
    </w:tbl>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Прибыли или убытки от выбытия объекта основных средств определяются посредством сравнения поступлений от его выбытия с его балансовой стоимостью и признаются в свернутом виде по строке «Прочие доходы» или «Прочие расходы» в составе прибыли или убытка за период.</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Нематериальные активы</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i/>
          <w:i/>
          <w:sz w:val="20"/>
          <w:szCs w:val="20"/>
          <w:lang w:eastAsia="en-US" w:bidi="ar-SA"/>
        </w:rPr>
      </w:pPr>
      <w:r>
        <w:rPr>
          <w:rFonts w:eastAsia="PMingLiU" w:ascii="Cambria" w:hAnsi="Cambria"/>
          <w:i/>
          <w:sz w:val="20"/>
          <w:szCs w:val="20"/>
          <w:lang w:eastAsia="en-US" w:bidi="ar-SA"/>
        </w:rPr>
        <w:t>Прочие нематериальные активы</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Прочие нематериальные активы, приобретенные Группой и имеющие ограниченные сроки полезного использования, отражаются по фактической стоимости за вычетом накопленных сумм амортизации и убытков от обесценения.</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Амортизация исчисляется с фактической стоимости актива или иной заменяющей ее величины за вычетом остаточной стоимости этого актива.</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Каждый объект нематериальных активов амортизируется линейным методом на протяжении ожидаемого срока его полезного использования начиная с даты готовности к эксплуатации и отражается в составе прибыли или убытка за период, поскольку именно такой метод наиболее точно отражает особенности ожидаемого потребления будущих экономических выгод, заключенных в активе. Расчетные сроки полезного использования различных активов на текущий и сравнительный периоды составляют 1-5 лет.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Переоценка методов начисления амортизации, сроков полезного использования и остаточной стоимости проводится на каждую отчетную дату и, при необходимости, в них вносятся соответствующие изменения.</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Аренда</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Договоры аренды, по условиям которых к арендатору переходят все существенные риски и выгоды, вытекающие из права собственности, классифицируются как финансовая аренда. Все прочие договоры аренды классифицируются как операционная аренда.</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i/>
          <w:i/>
          <w:sz w:val="20"/>
          <w:szCs w:val="20"/>
          <w:lang w:eastAsia="en-US" w:bidi="ar-SA"/>
        </w:rPr>
      </w:pPr>
      <w:r>
        <w:rPr>
          <w:rFonts w:eastAsia="PMingLiU" w:ascii="Cambria" w:hAnsi="Cambria"/>
          <w:i/>
          <w:sz w:val="20"/>
          <w:szCs w:val="20"/>
          <w:lang w:eastAsia="en-US" w:bidi="ar-SA"/>
        </w:rPr>
        <w:t>Компания как арендодатель</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Суммы к получению от арендаторов по договорам финансовой аренды отражаются в составе дебиторской задолженности в размере чистых инвестиций Компании в аренду. Доход по финансовой аренде распределяется по отчетным периодам так, чтобы обеспечить постоянный уровень доходности по чистым инвестициям Компании в аренду.</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Доход от операционной аренды признается равномерно в течение срока аренды. Первоначальные прямые затраты, связанные с согласованием условий договора операционной аренды и его оформлением, включаются в балансовую стоимость переданного в аренду актива и относятся на расходы равномерно в течение срока аренды.</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i/>
          <w:i/>
          <w:sz w:val="20"/>
          <w:szCs w:val="20"/>
          <w:lang w:eastAsia="en-US" w:bidi="ar-SA"/>
        </w:rPr>
      </w:pPr>
      <w:r>
        <w:rPr>
          <w:rFonts w:eastAsia="PMingLiU" w:ascii="Cambria" w:hAnsi="Cambria"/>
          <w:i/>
          <w:sz w:val="20"/>
          <w:szCs w:val="20"/>
          <w:lang w:eastAsia="en-US" w:bidi="ar-SA"/>
        </w:rPr>
        <w:t>Компания как арендатор</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Активы, арендованные по договорам финансовой аренды, первоначально учитываются </w:t>
        <w:br/>
        <w:t>по наименьшей из двух величин: справедливой стоимости арендованного имущества на начало срока аренды и дисконтированной стоимости минимальных арендных платежей. Соответствующие обязательства перед арендодателем отражаются в отчете о финансовом положении в качестве обязательств по финансовой аренде.</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Сумма арендной платы распределяется между финансовыми расходами и уменьшением обязательств по аренде таким образом, чтобы получить постоянную ставку процента на остаток обязательства. Финансовые расходы отражаются в прибылях и убытках, если они непосредственно не относятся к квалифицируемым активам. В последнем случае они капитализируются в соответствии с общей политикой Компании в отношении затрат по займам. Арендная плата, обусловленная будущими событиями, относится на расходы по мере возникновения.</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Платежи по операционной аренде относятся на расходы равномерно в течение срока аренды, за исключением случаев, когда другой метод распределения расходов точнее соответствует временному распределению экономических выгод от арендованных активов. Арендная плата по договорам операционной аренды, обусловленная будущими событиями, относится на расходы по мере возникновения.</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Льготы, полученные в качестве стимулов к заключению договоров операционной аренды, признаются как обязательства и равномерно сокращают расходы на аренду в течение ее срока, за исключением случаев, когда другой метод распределения расходов точнее соответствует временному распределению экономических выгод от арендованных активов.</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Обесценение материальных и нематериальных активов</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Балансовая стоимость активов, за исключением товарно-материальных запасов и отложенных налоговых активов, пересматривается на каждую отчетную дату на предмет выявления признаков их обесценения. В случае выявления признаков обесценения определяется возмещаемая стоимость соответствующих активов с целью определения размера убытка от обесценения. В тех случаях, когда невозможно оценить возмещаемую стоимость отдельного актива, Компания оценивает возмещаемую стоимость генерирующей единицы, к которой относится такой актив.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Возмещаемая стоимость определяется как наибольшая из двух величин: справедливой стоимости за вычетом расходов на продажу и стоимости использования. При определении стоимости использования актива, ожидаемые будущие потоки денежных средств дисконтируются до текущей стоимости с использованием коэффициента дисконтирования до налогообложения, отражающего текущую оценку рыночной стоимости денег с учетом ее изменения с течением времени, и рисков, присущих данному активу. Для активов, не генерирующих потоки денежных средств независимо от потоков денежных средств, генерируемых другими активами, возмещаемая стоимость определяется для всей группы активов, генерирующих денежные средства, к которой относится данный актив.</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Если возмещаемая стоимость актива (или генерирующей единицы) оказывается ниже его балансовой стоимости, балансовая стоимость этого актива уменьшается до возмещаемой стоимости. Убытки от обесценения немедленно отражаются в прибылях и убытках, за исключением случаев, когда актив подлежит регулярной переоценке. В этом случае убыток от обесценения учитывается как уменьшение резерва по переоценке.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В случаях, когда убыток от обесценения восстанавливается, балансовая стоимость актива увеличивается до суммы, полученной в результате новой оценки его возмещаемой стоимости, однако таким образом, чтобы новая балансовая стоимость не превышала балансовую стоимость, которая была бы определена, если бы по этому активу не был отражен убыток от обесценения в предыдущие годы. Восстановление убытка от обесценения сразу же отражается в прибылях и убытках, за исключением случаев, когда актив подлежит регулярной переоценке. В этом случае восстановление убытка от обесценения учитывается как увеличение резерва по переоценке. </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Финансовые активы</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Финансовые активы классифицируются при первоначальном признании по следующим категориям: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-по амортизированной стоимости;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-по справедливой стоимости через прочий совокупный доход – инвестиции в долговые инструменты;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-по справедливой стоимости через прочий совокупный доход – инвестиции в долевые инструменты; или по справедливой стоимости через прибыль или убыток.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Предусмотренная МСФО (IFRS) 9 классификация финансовых активов, как правило, основана на бизнес-модели, в рамках которой осуществляется управление финансовым активом, и характеристиках относящихся к нему предусмотренных договором потоков денежных средств. Производные инструменты, встроенные в договоры, в которых основной договор является финансовым активом в сфере применения данного стандарта, никогда не отделяются от основного договора. Вместо этого весь гибридный договор оценивается на предмет классификации в соответствии со стандартом.</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Финансовый актив оценивается по амортизированной стоимости только в случае, если он</w:t>
      </w:r>
      <w:r>
        <w:rPr>
          <w:rFonts w:eastAsia="PMingLiU" w:ascii="Cambria" w:hAnsi="Cambria"/>
        </w:rPr>
        <w:t xml:space="preserve"> отвечает </w:t>
      </w:r>
      <w:r>
        <w:rPr>
          <w:rFonts w:eastAsia="Times New Roman" w:cs="Arial" w:ascii="Cambria" w:hAnsi="Cambria"/>
          <w:sz w:val="20"/>
          <w:szCs w:val="20"/>
          <w:lang w:eastAsia="en-US" w:bidi="ar-SA"/>
        </w:rPr>
        <w:t>обоим нижеследующим условиям и не классифицирован по усмотрению Компании как оцениваемый по справедливой стоимости через прибыль или убыток:</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r>
        <w:rPr>
          <w:rFonts w:eastAsia="Times New Roman" w:cs="Arial" w:ascii="Cambria" w:hAnsi="Cambria"/>
          <w:sz w:val="20"/>
          <w:szCs w:val="20"/>
          <w:lang w:eastAsia="en-US" w:bidi="ar-SA"/>
        </w:rPr>
        <w:t>он удерживается в рамках бизнес-модели, целью которой является удержание активов для получения предусмотренных договором денежных потоков, и</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r>
        <w:rPr>
          <w:rFonts w:eastAsia="Times New Roman" w:cs="Arial" w:ascii="Cambria" w:hAnsi="Cambria"/>
          <w:sz w:val="20"/>
          <w:szCs w:val="20"/>
          <w:lang w:eastAsia="en-US" w:bidi="ar-SA"/>
        </w:rPr>
        <w:t>его договорные условия предусматривают возникновение в установленные сроки денежных потоков, которые представляют собой выплату исключительно основной суммы и процентов на непогашенную часть основной суммы.</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Инвестиция в долговой инструмент оценивается по справедливой стоимости через прочий совокупный доход в случае, если инструмент отвечает обоим нижеследующим условиям и не классифицирован по усмотрению Компании как оцениваемый по справедливой стоимости через прибыль или убыток:</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r>
        <w:rPr>
          <w:rFonts w:eastAsia="Times New Roman" w:cs="Arial" w:ascii="Cambria" w:hAnsi="Cambria"/>
          <w:sz w:val="20"/>
          <w:szCs w:val="20"/>
          <w:lang w:eastAsia="en-US" w:bidi="ar-SA"/>
        </w:rPr>
        <w:t>он удерживается в рамках бизнес-модели, цель которой достигается как путем получения предусмотренных договором денежных потоков, так и путем продажи финансовых активов, и</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r>
        <w:rPr>
          <w:rFonts w:eastAsia="Times New Roman" w:cs="Arial" w:ascii="Cambria" w:hAnsi="Cambria"/>
          <w:sz w:val="20"/>
          <w:szCs w:val="20"/>
          <w:lang w:eastAsia="en-US" w:bidi="ar-SA"/>
        </w:rPr>
        <w:t>его договорные условия предусматривают возникновение в установленные сроки денежных потоков, которые представляют собой выплату исключительно основной суммы и процентов на непогашенную часть основной суммы.</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При первоначальном признании инвестиций в долевые инструменты, не предназначенных для торговли, Компания может по собственному усмотрению принять решение, без права его последующей отмены, представлять последующие изменения их справедливой стоимости в составе прочего совокупного дохода. Данный выбор производится для каждой инвестиции в отдельности.</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Все финансовые активы, которые не отвечают критериям для их оценки по амортизированной стоимости или по справедливой стоимости через прочий совокупный доход, как описано выше, оцениваются по справедливой стоимости через прибыль или убыток. Это включает все производные финансовые активы. При первоначальном признании Компания может по собственному усмотрению классифицировать, без права последующей реклассификации, финансовый актив, который отвечает критериям оценки по амортизированной стоимости или по справедливой стоимости через прочий совокупный доход, как оцениваемый по справедливой стоимости через прибыль или убыток, если это позволит устранить или значительно уменьшить учетное несоответствие, которое иначе возникло бы.</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Финансовый актив (если это не торговая дебиторская задолженность, которая не содержит значительного компонента финансирования и первоначально оценивается по цене сделки) первоначально оценивается по справедливой стоимости плюс сумма затрат по сделке, которые напрямую относятся к его приобретению. </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При последующей оценке финансовых активов применяются следующие положения учетной политики.</w:t>
      </w:r>
    </w:p>
    <w:tbl>
      <w:tblPr>
        <w:tblW w:w="9525" w:type="dxa"/>
        <w:jc w:val="left"/>
        <w:tblInd w:w="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firstRow="0" w:noVBand="0" w:lastRow="0" w:firstColumn="0" w:lastColumn="0" w:noHBand="0" w:val="0000"/>
      </w:tblPr>
      <w:tblGrid>
        <w:gridCol w:w="2611"/>
        <w:gridCol w:w="6913"/>
      </w:tblGrid>
      <w:tr>
        <w:trPr>
          <w:trHeight w:val="720" w:hRule="atLeast"/>
        </w:trPr>
        <w:tc>
          <w:tcPr>
            <w:tcW w:w="26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Финансовые активы, оцениваемые по справедливой стоимости через прибыль или убыток</w:t>
            </w:r>
          </w:p>
          <w:p>
            <w:pPr>
              <w:pStyle w:val="Normal"/>
              <w:spacing w:before="120" w:after="120"/>
              <w:rPr>
                <w:rFonts w:ascii="Cambria" w:hAnsi="Cambria" w:eastAsia="PMingLiU"/>
              </w:rPr>
            </w:pPr>
            <w:r>
              <w:rPr>
                <w:rFonts w:eastAsia="PMingLiU" w:ascii="Cambria" w:hAnsi="Cambria"/>
              </w:rPr>
            </w:r>
          </w:p>
        </w:tc>
        <w:tc>
          <w:tcPr>
            <w:tcW w:w="69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Эти активы впоследствии оцениваются по справедливой стоимости. Нетто-величины прибыли или убытка, включая любой процентный доход и дивиденды, признаются в составе прибыли или убытка за период.</w:t>
            </w:r>
          </w:p>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r>
          </w:p>
        </w:tc>
      </w:tr>
      <w:tr>
        <w:trPr>
          <w:trHeight w:val="720" w:hRule="atLeast"/>
        </w:trPr>
        <w:tc>
          <w:tcPr>
            <w:tcW w:w="26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Финансовые активы, оцениваемые по амортизированной стоимости</w:t>
            </w:r>
          </w:p>
          <w:p>
            <w:pPr>
              <w:pStyle w:val="Normal"/>
              <w:spacing w:before="120" w:after="120"/>
              <w:rPr>
                <w:rFonts w:ascii="Cambria" w:hAnsi="Cambria" w:eastAsia="PMingLiU"/>
              </w:rPr>
            </w:pPr>
            <w:r>
              <w:rPr>
                <w:rFonts w:eastAsia="PMingLiU" w:ascii="Cambria" w:hAnsi="Cambria"/>
              </w:rPr>
            </w:r>
          </w:p>
        </w:tc>
        <w:tc>
          <w:tcPr>
            <w:tcW w:w="69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120" w:after="120"/>
              <w:rPr>
                <w:rFonts w:ascii="Cambria" w:hAnsi="Cambria" w:eastAsia="PMingLiU"/>
              </w:rPr>
            </w:pPr>
            <w:r>
              <w:rPr>
                <w:rFonts w:eastAsia="Times New Roman" w:cs="Arial" w:ascii="Cambria" w:hAnsi="Cambria"/>
                <w:sz w:val="20"/>
                <w:szCs w:val="20"/>
                <w:lang w:eastAsia="en-US" w:bidi="ar-SA"/>
              </w:rPr>
              <w:t>Эти активы впоследствии оцениваются по амортизированной стоимости с использованием метода эффективной процентной ставки. Амортизированная стоимость уменьшается на величину убытков от обесценения. Процентный доход, положительные и отрицательные курсовые разницы, и суммы обесценения признаются в составе прибыли или убытка. Любая прибыль или убыток от прекращения признания признается в составе прибыли или убытка за период.</w:t>
            </w:r>
          </w:p>
          <w:p>
            <w:pPr>
              <w:pStyle w:val="Normal"/>
              <w:spacing w:before="120" w:after="120"/>
              <w:rPr>
                <w:rFonts w:ascii="Cambria" w:hAnsi="Cambria" w:eastAsia="PMingLiU"/>
              </w:rPr>
            </w:pPr>
            <w:r>
              <w:rPr>
                <w:rFonts w:eastAsia="PMingLiU" w:ascii="Cambria" w:hAnsi="Cambria"/>
              </w:rPr>
            </w:r>
          </w:p>
        </w:tc>
      </w:tr>
      <w:tr>
        <w:trPr>
          <w:trHeight w:val="720" w:hRule="atLeast"/>
        </w:trPr>
        <w:tc>
          <w:tcPr>
            <w:tcW w:w="26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Инвестиции в долговые инструменты, оцениваемые по справедливой стоимости через прочий совокупный доход</w:t>
            </w:r>
          </w:p>
          <w:p>
            <w:pPr>
              <w:pStyle w:val="Normal"/>
              <w:rPr>
                <w:rFonts w:ascii="TimesNewRomanPS-BoldMT" w:hAnsi="TimesNewRomanPS-BoldMT" w:cs="TimesNewRomanPS-BoldMT"/>
                <w:b/>
                <w:b/>
                <w:bCs/>
                <w:sz w:val="21"/>
                <w:szCs w:val="21"/>
              </w:rPr>
            </w:pPr>
            <w:r>
              <w:rPr>
                <w:rFonts w:cs="TimesNewRomanPS-BoldMT" w:ascii="TimesNewRomanPS-BoldMT" w:hAnsi="TimesNewRomanPS-BoldMT"/>
                <w:b/>
                <w:bCs/>
                <w:sz w:val="21"/>
                <w:szCs w:val="21"/>
              </w:rPr>
            </w:r>
          </w:p>
        </w:tc>
        <w:tc>
          <w:tcPr>
            <w:tcW w:w="69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Эти активы впоследствии оцениваются по справедливой стоимости. Процентный доход, рассчитанный с использованием метода эффективной процентной ставки, положительные и отрицательные курсовые разницы, и суммы обесценения признаются в составе прибыли или убытка. Прочие нетто- величины прибыли или убытка признаются в составе прочего совокупного дохода. При прекращении признания прибыли или убытки, накопленные в составе прочего совокупного дохода, реклассифицируются в категорию прибыли или убытка за период.</w:t>
            </w:r>
          </w:p>
          <w:p>
            <w:pPr>
              <w:pStyle w:val="Normal"/>
              <w:rPr>
                <w:rFonts w:ascii="TimesNewRomanPSMT" w:hAnsi="TimesNewRomanPSMT" w:cs="TimesNewRomanPSMT"/>
                <w:sz w:val="21"/>
                <w:szCs w:val="21"/>
              </w:rPr>
            </w:pPr>
            <w:r>
              <w:rPr>
                <w:rFonts w:cs="TimesNewRomanPSMT" w:ascii="TimesNewRomanPSMT" w:hAnsi="TimesNewRomanPSMT"/>
                <w:sz w:val="21"/>
                <w:szCs w:val="21"/>
              </w:rPr>
            </w:r>
          </w:p>
        </w:tc>
      </w:tr>
      <w:tr>
        <w:trPr>
          <w:trHeight w:val="720" w:hRule="atLeast"/>
        </w:trPr>
        <w:tc>
          <w:tcPr>
            <w:tcW w:w="261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Инвестиции в долевые инструменты, оцениваемые по справедливой стоимости через прочий совокупный доход</w:t>
            </w:r>
          </w:p>
          <w:p>
            <w:pPr>
              <w:pStyle w:val="Normal"/>
              <w:rPr>
                <w:rFonts w:ascii="TimesNewRomanPS-BoldMT" w:hAnsi="TimesNewRomanPS-BoldMT" w:cs="TimesNewRomanPS-BoldMT"/>
                <w:b/>
                <w:b/>
                <w:bCs/>
                <w:sz w:val="21"/>
                <w:szCs w:val="21"/>
              </w:rPr>
            </w:pPr>
            <w:r>
              <w:rPr>
                <w:rFonts w:cs="TimesNewRomanPS-BoldMT" w:ascii="TimesNewRomanPS-BoldMT" w:hAnsi="TimesNewRomanPS-BoldMT"/>
                <w:b/>
                <w:bCs/>
                <w:sz w:val="21"/>
                <w:szCs w:val="21"/>
              </w:rPr>
            </w:r>
          </w:p>
        </w:tc>
        <w:tc>
          <w:tcPr>
            <w:tcW w:w="691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pacing w:before="120" w:after="120"/>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Эти активы впоследствии оцениваются по справедливой стоимости. Дивиденды признаются как доход в составе прибыли или убытка за период, если только не очевидно, что дивиденд представляет собой возмещение части первоначальной стоимости инвестиции. Прочие нетто-величины прибыли или убытка признаются в составе прочего совокупного дохода и никогда не реклассифицируются в категорию прибыли или убытка за период.</w:t>
            </w:r>
          </w:p>
          <w:p>
            <w:pPr>
              <w:pStyle w:val="Normal"/>
              <w:spacing w:before="120" w:after="120"/>
              <w:rPr>
                <w:rFonts w:ascii="TimesNewRomanPSMT" w:hAnsi="TimesNewRomanPSMT" w:cs="TimesNewRomanPSMT"/>
                <w:sz w:val="21"/>
                <w:szCs w:val="21"/>
              </w:rPr>
            </w:pPr>
            <w:r>
              <w:rPr>
                <w:rFonts w:cs="TimesNewRomanPSMT" w:ascii="TimesNewRomanPSMT" w:hAnsi="TimesNewRomanPSMT"/>
                <w:sz w:val="21"/>
                <w:szCs w:val="21"/>
              </w:rPr>
            </w:r>
          </w:p>
        </w:tc>
      </w:tr>
    </w:tbl>
    <w:p>
      <w:pPr>
        <w:pStyle w:val="Normal"/>
        <w:tabs>
          <w:tab w:val="clear" w:pos="720"/>
          <w:tab w:val="left" w:pos="9585" w:leader="none"/>
        </w:tabs>
        <w:suppressAutoHyphens w:val="true"/>
        <w:spacing w:before="120" w:after="120"/>
        <w:ind w:right="136" w:hanging="0"/>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t>Обесценение финансовых активов</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Модель обесценения применяется к финансовым активам, оцениваемым по амортизированной стоимости, активам по договору и инвестициям в долговые ценные бумаги, оцениваемым по справедливой стоимости через прочий совокупный доход, но не применяется к инвестициям в долевые инструменты. В соответствии с МСФО (IFRS) 9 кредитные убытки признаются раньше, чем в соответствии с МСФО (IAS) 39.</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В соответствии с МСФО (IFRS) 9 резервы под обесценение оцениваются одним из следующих двух способов:</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r>
        <w:rPr>
          <w:rFonts w:eastAsia="Times New Roman" w:cs="Arial" w:ascii="Cambria" w:hAnsi="Cambria"/>
          <w:sz w:val="20"/>
          <w:szCs w:val="20"/>
          <w:lang w:eastAsia="en-US" w:bidi="ar-SA"/>
        </w:rPr>
        <w:t>12-месячные ожидаемые кредитные убытки: это ожидаемые кредитные убытки, возникающие вследствие событий дефолта, возможных в течение 12 месяцев после отчетной даты; и</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r>
        <w:rPr>
          <w:rFonts w:eastAsia="Times New Roman" w:cs="Arial" w:ascii="Cambria" w:hAnsi="Cambria"/>
          <w:sz w:val="20"/>
          <w:szCs w:val="20"/>
          <w:lang w:eastAsia="en-US" w:bidi="ar-SA"/>
        </w:rPr>
        <w:t>ожидаемые кредитные убытки за весь срок: это ожидаемые кредитные убытки, возникающие вследствие всех возможных событий дефолта на протяжении всего ожидаемого срока действия финансового инструмента.</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Компания признает оценочные резервы под ожидаемые кредитные убытки в сумме, равной ожидаемым кредитным убыткам за весь срок.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t>Кредитно-обесцененные финансовые активы</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На каждую отчетную дату Компания оценивает финансовые активы, отражаемые по амортизированной стоимости, и долговые ценные бумаги, отражаемые по справедливой стоимости через прочий совокупный доход, на предмет кредитного обесценения. Финансовый актив является «кредитно-обесцененным», когда происходит одно или несколько событий, которые оказывают негативное влияние на расчетные будущие денежные потоки по такому финансовому активу.</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b/>
          <w:b/>
          <w:sz w:val="20"/>
          <w:szCs w:val="20"/>
          <w:lang w:eastAsia="en-US" w:bidi="ar-SA"/>
        </w:rPr>
      </w:pPr>
      <w:r>
        <w:rPr>
          <w:rFonts w:eastAsia="Times New Roman" w:cs="Arial" w:ascii="Cambria" w:hAnsi="Cambria"/>
          <w:b/>
          <w:sz w:val="20"/>
          <w:szCs w:val="20"/>
          <w:lang w:eastAsia="en-US" w:bidi="ar-SA"/>
        </w:rPr>
        <w:t>Представление информации об обесценении</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Резервы под убытки по финансовым активам, оцениваемые по амортизированной стоимости, вычитаются из валовой балансовой стоимости этих активов.</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Резерв под убытки в отношении долевых ценных бумаг, оцениваемых по справедливой стоимости через прочий совокупный доход, признается в составе прочего совокупного дохода.</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 </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Запасы</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Запасы Группы включают сырье и материалы, незавершенное производство и готовую продукцию.</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Запасы учитываются по наименьшей из двух величин - фактической себестоимости или чистой стоимости возможной продажи. Чистая стоимость возможной продажи - это предполагаемая цена продажи запасов в обычных условиях делового оборота за вычетом расчетных затрат на завершение работ и реализацию.</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Денежные средства и их эквиваленты</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Денежные средства и их эквиваленты включают денежные средства, банковские депозиты и высоколиквидные финансовые вложения со сроком погашения до трех месяцев, которые свободно конвертируются в соответствующие суммы денежных средств и риск изменения стоимости которых является незначительным.</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Финансовые обязательства</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Финансовые обязательства классифицируются либо как финансовые обязательства, оцениваемые по справедливой стоимости через прибыли и убытки, либо как прочие финансовые обязательства.</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У Группы отсутствуют финансовые обязательства, оцениваемые по справедливой стоимости через прибыли и убытки.</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Прочие финансовые обязательства, включая заемные средства, принимаются к учету по справедливой стоимости за вычетом расходов по операции.</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В дальнейшем прочие финансовые обязательства оцениваются по амортизированной стоимости с использованием метода эффективной процентной ставки.</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Компания списывает финансовые обязательства только в случае их погашения, аннулирования или истечения срока действия.</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 xml:space="preserve">Торговая и прочая кредиторская задолженность </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Торговая и прочая кредиторская задолженность первоначально признается по справедливой стоимости и в дальнейшем учитывается по амортизированной стоимости с использованием метода эффективной процентной ставки. </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Резервы предстоящих расходов</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Резервы предстоящих расходов отражаются в учете, когда у Группы есть обязательства (юридические или вмененные нормами делового оборота), возникшие в результате прошлых событий, и существует высокая вероятность того, что Группа должна будет погасить данные обязательства, и размер таких обязательств может быть оценен с высокой степенью точности.</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Величина резерва предстоящих расходов, отражаемая в учете, представляет собой наилучшую оценку суммы, необходимой для погашения обязательств, определенную на отчетную дату с учетом рисков и неопределенностей, характерных для данных обязательств. Если величина резерва предстоящих расходов рассчитывается на основании предполагаемых денежных потоков по погашению обязательств, резерв предстоящих расходов определяется как дисконтированная стоимость таких денежных потоков.</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Если ожидается, что выплаты, необходимые для погашения обязательств, будут частично или полностью возмещены третьей стороной, соответствующая дебиторская задолженность отражается в качестве актива при условии практически полной уверенности в том, что возмещение будет получено, и возможности надежной оценки суммы этой дебиторской задолженности.</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Условные активы и обязательства не отражаются в финансовой отчетности, но подлежат раскрытию при наличии вероятного притока / оттока экономических выгод.</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Операции с иностранной валютой</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Операции в иностранной валюте отражаются в функциональной валюте по курсу, действовавшему на дату совершения операции. Денежные активы и обязательства, выраженные в иностранной валюте по состоянию на отчетную дату, отражаются в функциональной валюте по курсу, действовавшему на отчетную дату. Немонетарные активы и обязательства, выраженные в иностранной валюте и отраженные по исторической стоимости, переводятся в функциональную валюту по курсу, действовавшему на дату совершения операции. Немонетарные активы и обязательства, выраженные в иностранной валюте и отраженные по справедливой стоимости, переводятся в функциональную валюту по курсу, действовавшему на дату определения справедливой стоимости. Курсовые разницы, возникающие в результате изменения валютных курсов, отражаются в составе прибылей и убытков в отчете о прибыли или убытке и прочем совокупном доходе, за исключением сумм, относящихся к квалифицируемому активу. </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Признание выручки от реализации продукции и услуг</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Величина выручки от реализации продукции оценивается по справедливой стоимости полученного, или ожидаемого к получению возмещения, с учетом всех предоставленных торговых скидок и уступок. Выручка признается в тот момент, когда значительные риски и выгоды, связанные с правом собственности, переданы покупателю, продавец больше не контролирует продукцию и можно надежно оценить сумму выручки и затрат, связанных с договором, в результате сделки существует вероятность поступления экономической выгоды для Группы.</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Момент передачи рисков и выгоды варьируется в зависимости от конкретных условий договора продажи.</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Затраты по займам</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Затраты по займам, списываются в расходы отчетного периода.</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b/>
          <w:b/>
          <w:sz w:val="20"/>
          <w:szCs w:val="20"/>
          <w:lang w:eastAsia="en-US" w:bidi="ar-SA"/>
        </w:rPr>
      </w:pPr>
      <w:r>
        <w:rPr>
          <w:rFonts w:eastAsia="PMingLiU" w:ascii="Cambria" w:hAnsi="Cambria"/>
          <w:b/>
          <w:sz w:val="20"/>
          <w:szCs w:val="20"/>
          <w:lang w:eastAsia="en-US" w:bidi="ar-SA"/>
        </w:rPr>
        <w:t>Налог на прибыль</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Расходы по налогу на прибыль представляют собой сумму текущего и отложенного налога.</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i/>
          <w:i/>
          <w:sz w:val="20"/>
          <w:szCs w:val="20"/>
          <w:lang w:eastAsia="en-US" w:bidi="ar-SA"/>
        </w:rPr>
      </w:pPr>
      <w:r>
        <w:rPr>
          <w:rFonts w:eastAsia="PMingLiU" w:ascii="Cambria" w:hAnsi="Cambria"/>
          <w:i/>
          <w:sz w:val="20"/>
          <w:szCs w:val="20"/>
          <w:lang w:eastAsia="en-US" w:bidi="ar-SA"/>
        </w:rPr>
        <w:t>Текущий налог на прибыль</w:t>
      </w:r>
    </w:p>
    <w:p>
      <w:pPr>
        <w:pStyle w:val="Normal"/>
        <w:tabs>
          <w:tab w:val="clear" w:pos="720"/>
          <w:tab w:val="left" w:pos="9585" w:leader="none"/>
        </w:tabs>
        <w:suppressAutoHyphens w:val="true"/>
        <w:spacing w:before="120" w:after="120"/>
        <w:ind w:right="136"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Сумма текущего налога определяется исходя из величины налогооблагаемой прибыли за год. Налогооблагаемая прибыль отличается от прибыли, отраженной в отчете о прибылях и убытках и прочем совокупном доходе, из-за статей доходов или расходов, подлежащих налогообложению или вычету для целей налогообложения в другие годы, а также исключает вообще не подлежащие налогообложению или вычету для целей налогообложения статьи. Обязательства по текущему налогу на прибыль рассчитываются с использованием ставок налогообложения, утвержденных или практически утвержденных законодателем на отчетную дату.</w:t>
      </w:r>
    </w:p>
    <w:p>
      <w:pPr>
        <w:pStyle w:val="Normal"/>
        <w:tabs>
          <w:tab w:val="clear" w:pos="720"/>
          <w:tab w:val="left" w:pos="851" w:leader="none"/>
        </w:tabs>
        <w:suppressAutoHyphens w:val="true"/>
        <w:overflowPunct w:val="true"/>
        <w:spacing w:before="120" w:after="120"/>
        <w:ind w:right="136" w:hanging="0"/>
        <w:jc w:val="both"/>
        <w:textAlignment w:val="baseline"/>
        <w:rPr>
          <w:rFonts w:ascii="Cambria" w:hAnsi="Cambria" w:eastAsia="PMingLiU"/>
          <w:i/>
          <w:i/>
          <w:sz w:val="20"/>
          <w:szCs w:val="20"/>
          <w:lang w:eastAsia="en-US" w:bidi="ar-SA"/>
        </w:rPr>
      </w:pPr>
      <w:r>
        <w:rPr>
          <w:rFonts w:eastAsia="PMingLiU" w:ascii="Cambria" w:hAnsi="Cambria"/>
          <w:i/>
          <w:sz w:val="20"/>
          <w:szCs w:val="20"/>
          <w:lang w:eastAsia="en-US" w:bidi="ar-SA"/>
        </w:rPr>
        <w:t>Отложенный налог</w:t>
      </w:r>
    </w:p>
    <w:p>
      <w:pPr>
        <w:pStyle w:val="Normal"/>
        <w:tabs>
          <w:tab w:val="clear" w:pos="720"/>
          <w:tab w:val="left" w:pos="9585" w:leader="none"/>
        </w:tabs>
        <w:suppressAutoHyphens w:val="true"/>
        <w:spacing w:before="120" w:after="120"/>
        <w:ind w:right="134"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Отложенный налог признается в отношении временных разниц между балансовой стоимостью активов и обязательств, отраженных в финансовой отчетности, и соответствующими данными налогового учета, используемыми при расчете налогооблагаемой прибыли. Отложенные налоговые обязательства, как правило, отражаются с учетом всех облагаемых временных разниц. Отложенные налоговые активы отражаются с учетом всех вычитаемых временных разниц при условии высокой вероятности наличия в будущем налогооблагаемой прибыли, балансовой для использования этих временных разниц. Налоговые активы и обязательства не отражаются в финансовой отчетности, если временные разницы связаны с гудвиллом или возникают вследствие первоначального признания других активов и обязательств в рамках сделок (кроме сделок по объединению бизнеса), которые не влияют ни на налогооблагаемую, ни на бухгалтерскую прибыль.</w:t>
      </w:r>
    </w:p>
    <w:p>
      <w:pPr>
        <w:pStyle w:val="Normal"/>
        <w:tabs>
          <w:tab w:val="clear" w:pos="720"/>
          <w:tab w:val="left" w:pos="9585" w:leader="none"/>
        </w:tabs>
        <w:suppressAutoHyphens w:val="true"/>
        <w:spacing w:before="120" w:after="120"/>
        <w:ind w:right="134"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 xml:space="preserve">Отложенные налоговые активы и обязательства по налогу на прибыль рассчитываются с использованием ставок налогообложения (а также положений налогового законодательства), которые были утверждены или практически утверждены законодателем на отчетную дату и, как предполагается, будут действовать в период реализации налогового актива или погашения обязательства. Оценка отложенных налоговых обязательств и активов отражает налоговые последствия намерений Группы (по состоянию на отчетную дату) в отношении способов возмещения или погашения балансовой стоимости активов и обязательств. </w:t>
      </w:r>
    </w:p>
    <w:p>
      <w:pPr>
        <w:pStyle w:val="Normal"/>
        <w:tabs>
          <w:tab w:val="clear" w:pos="720"/>
          <w:tab w:val="left" w:pos="9585" w:leader="none"/>
        </w:tabs>
        <w:suppressAutoHyphens w:val="true"/>
        <w:spacing w:before="120" w:after="120"/>
        <w:ind w:right="134"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Отложенные налоговые активы и обязательства отражаются в отчетности свернуто, если существует законное право произвести взаимозачет текущих налоговых активов и обязательств, относящихся к налогу на прибыль, взимаемому одним и тем же налоговым органом, и Компания намеревается взаимозачесть текущие налоговые активы и обязательства таким образом.</w:t>
      </w:r>
    </w:p>
    <w:p>
      <w:pPr>
        <w:pStyle w:val="Normal"/>
        <w:suppressAutoHyphens w:val="true"/>
        <w:spacing w:before="120" w:after="120"/>
        <w:ind w:left="8" w:right="134" w:hanging="0"/>
        <w:jc w:val="both"/>
        <w:rPr>
          <w:rFonts w:ascii="Cambria" w:hAnsi="Cambria" w:eastAsia="Times New Roman" w:cs="Arial"/>
          <w:i/>
          <w:i/>
          <w:sz w:val="20"/>
          <w:szCs w:val="20"/>
          <w:lang w:bidi="ar-SA"/>
        </w:rPr>
      </w:pPr>
      <w:r>
        <w:rPr>
          <w:rFonts w:eastAsia="Times New Roman" w:cs="Arial" w:ascii="Cambria" w:hAnsi="Cambria"/>
          <w:i/>
          <w:sz w:val="20"/>
          <w:szCs w:val="20"/>
          <w:lang w:bidi="ar-SA"/>
        </w:rPr>
        <w:t>Текущий и отложенный налог за отчетный период</w:t>
      </w:r>
    </w:p>
    <w:p>
      <w:pPr>
        <w:pStyle w:val="Normal"/>
        <w:tabs>
          <w:tab w:val="clear" w:pos="720"/>
          <w:tab w:val="left" w:pos="9585" w:leader="none"/>
        </w:tabs>
        <w:suppressAutoHyphens w:val="true"/>
        <w:spacing w:before="120" w:after="120"/>
        <w:ind w:right="134"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t>Текущие и отложенные налоги признаются в составе прибылей и убытков в отчете о прибылях и убытках и прочем совокупном доходе, кроме случаев, когда они относятся к статьям, напрямую относимым к прочему совокупному доходу или собственному капиталу (в этом случае соответствующий налог также признается напрямую в капитале), или если они признаются в результате первоначального отражения сделок по объединению бизнеса. Налоговый эффект сделок по объединению бизнеса отражается при учете этих сделок.</w:t>
      </w:r>
    </w:p>
    <w:p>
      <w:pPr>
        <w:pStyle w:val="Normal"/>
        <w:tabs>
          <w:tab w:val="clear" w:pos="720"/>
          <w:tab w:val="left" w:pos="9585" w:leader="none"/>
        </w:tabs>
        <w:suppressAutoHyphens w:val="true"/>
        <w:spacing w:before="120" w:after="120"/>
        <w:ind w:right="134" w:hanging="0"/>
        <w:jc w:val="both"/>
        <w:rPr>
          <w:rFonts w:ascii="Cambria" w:hAnsi="Cambria" w:eastAsia="Times New Roman" w:cs="Arial"/>
          <w:sz w:val="20"/>
          <w:szCs w:val="20"/>
          <w:lang w:eastAsia="en-US" w:bidi="ar-SA"/>
        </w:rPr>
      </w:pPr>
      <w:r>
        <w:rPr>
          <w:rFonts w:eastAsia="Times New Roman" w:cs="Arial" w:ascii="Cambria" w:hAnsi="Cambria"/>
          <w:sz w:val="20"/>
          <w:szCs w:val="20"/>
          <w:lang w:eastAsia="en-US" w:bidi="ar-SA"/>
        </w:rPr>
      </w:r>
    </w:p>
    <w:p>
      <w:pPr>
        <w:pStyle w:val="ListParagraph"/>
        <w:keepLines/>
        <w:numPr>
          <w:ilvl w:val="0"/>
          <w:numId w:val="6"/>
        </w:numPr>
        <w:spacing w:before="120" w:after="120"/>
        <w:ind w:left="720" w:right="136" w:hanging="360"/>
        <w:contextualSpacing/>
        <w:outlineLvl w:val="0"/>
        <w:rPr>
          <w:rFonts w:ascii="Cambria" w:hAnsi="Cambria" w:eastAsia="Times New Roman" w:cs="Arial"/>
          <w:b/>
          <w:b/>
          <w:bCs/>
          <w:kern w:val="2"/>
          <w:szCs w:val="20"/>
        </w:rPr>
      </w:pPr>
      <w:bookmarkStart w:id="16" w:name="_Toc511723872"/>
      <w:bookmarkStart w:id="17" w:name="_Toc484002986"/>
      <w:bookmarkStart w:id="18" w:name="_Toc478735850"/>
      <w:r>
        <w:rPr>
          <w:rFonts w:eastAsia="Times New Roman" w:cs="Arial" w:ascii="Cambria" w:hAnsi="Cambria"/>
          <w:b/>
          <w:bCs/>
          <w:kern w:val="2"/>
          <w:szCs w:val="20"/>
        </w:rPr>
        <w:t>ОСНОВНЫЕ ОЦЕНКИ И ДОПУЩЕНИЯ</w:t>
      </w:r>
      <w:bookmarkEnd w:id="16"/>
      <w:bookmarkEnd w:id="17"/>
      <w:bookmarkEnd w:id="18"/>
    </w:p>
    <w:p>
      <w:pPr>
        <w:pStyle w:val="Normal"/>
        <w:suppressAutoHyphens w:val="true"/>
        <w:spacing w:before="120" w:after="120"/>
        <w:ind w:left="8"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Подготовка консолидированной финансовой отчетности требует выработки оценок и допущений, которые могут повлиять на отражение активов и обязательств, включая раскрытие доходов и расходов, образовавшихся за отчетный период. Основная часть учетной политики Группы состоит из наиболее важных положений, отражающих ее финансовое положение и результаты деятельности, а также требующих наиболее сложных, субъективных и комплексных суждений со стороны руководства Группа.</w:t>
      </w:r>
    </w:p>
    <w:p>
      <w:pPr>
        <w:pStyle w:val="Normal"/>
        <w:suppressAutoHyphens w:val="true"/>
        <w:spacing w:before="120" w:after="120"/>
        <w:ind w:left="8"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В связи с неопределенностью факторов, связанных с оценочными значениями и суждениями, используемыми при подготовке консолидированной финансовой отчетности Группы, фактические результаты могут отличаться от таких оценок.</w:t>
      </w:r>
    </w:p>
    <w:p>
      <w:pPr>
        <w:pStyle w:val="Normal"/>
        <w:suppressAutoHyphens w:val="true"/>
        <w:spacing w:before="120" w:after="120"/>
        <w:ind w:left="8"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 xml:space="preserve">Важнейшие, с точки зрения Руководства Группы, принципы учетной политики Группы представлены ниже. </w:t>
      </w:r>
    </w:p>
    <w:p>
      <w:pPr>
        <w:pStyle w:val="Normal"/>
        <w:suppressAutoHyphens w:val="true"/>
        <w:spacing w:before="120" w:after="120"/>
        <w:ind w:right="134" w:hanging="0"/>
        <w:jc w:val="both"/>
        <w:rPr>
          <w:rFonts w:ascii="Cambria" w:hAnsi="Cambria" w:eastAsia="Times New Roman" w:cs="Arial"/>
          <w:sz w:val="20"/>
          <w:szCs w:val="20"/>
          <w:lang w:bidi="ar-SA"/>
        </w:rPr>
      </w:pPr>
      <w:r>
        <w:rPr>
          <w:rFonts w:eastAsia="MS Mincho" w:cs="Arial" w:ascii="Cambria" w:hAnsi="Cambria"/>
          <w:b/>
          <w:sz w:val="20"/>
          <w:szCs w:val="20"/>
          <w:lang w:eastAsia="ja-JP" w:bidi="ar-SA"/>
        </w:rPr>
        <w:t xml:space="preserve">Основные средства. </w:t>
      </w:r>
      <w:r>
        <w:rPr>
          <w:rFonts w:eastAsia="Times New Roman" w:ascii="Cambria" w:hAnsi="Cambria"/>
          <w:sz w:val="20"/>
          <w:szCs w:val="20"/>
          <w:lang w:eastAsia="en-US" w:bidi="ar-SA"/>
        </w:rPr>
        <w:t>Учет основных средств ведется по исторической стоимости.</w:t>
      </w:r>
      <w:r>
        <w:rPr>
          <w:rFonts w:eastAsia="Times New Roman" w:cs="Arial" w:ascii="Cambria" w:hAnsi="Cambria"/>
          <w:sz w:val="20"/>
          <w:szCs w:val="20"/>
          <w:lang w:bidi="ar-SA"/>
        </w:rPr>
        <w:t xml:space="preserve"> </w:t>
      </w:r>
    </w:p>
    <w:p>
      <w:pPr>
        <w:pStyle w:val="Normal"/>
        <w:tabs>
          <w:tab w:val="clear" w:pos="720"/>
          <w:tab w:val="left" w:pos="9585" w:leader="none"/>
        </w:tabs>
        <w:suppressAutoHyphens w:val="true"/>
        <w:spacing w:before="120" w:after="120"/>
        <w:ind w:right="134" w:hanging="0"/>
        <w:jc w:val="both"/>
        <w:rPr>
          <w:rFonts w:ascii="Cambria" w:hAnsi="Cambria" w:eastAsia="Times New Roman"/>
          <w:sz w:val="20"/>
          <w:szCs w:val="20"/>
          <w:lang w:eastAsia="en-US" w:bidi="ar-SA"/>
        </w:rPr>
      </w:pPr>
      <w:r>
        <w:rPr>
          <w:rFonts w:eastAsia="MS Mincho" w:cs="Arial" w:ascii="Cambria" w:hAnsi="Cambria"/>
          <w:b/>
          <w:sz w:val="20"/>
          <w:szCs w:val="20"/>
          <w:lang w:eastAsia="ja-JP" w:bidi="ar-SA"/>
        </w:rPr>
        <w:t>Запасы.</w:t>
      </w:r>
      <w:r>
        <w:rPr>
          <w:rFonts w:eastAsia="MS Mincho" w:cs="Arial" w:ascii="Cambria" w:hAnsi="Cambria"/>
          <w:sz w:val="20"/>
          <w:szCs w:val="20"/>
          <w:lang w:eastAsia="ja-JP" w:bidi="ar-SA"/>
        </w:rPr>
        <w:t xml:space="preserve"> </w:t>
      </w:r>
      <w:r>
        <w:rPr>
          <w:rFonts w:eastAsia="Times New Roman" w:ascii="Cambria" w:hAnsi="Cambria"/>
          <w:sz w:val="20"/>
          <w:szCs w:val="20"/>
          <w:lang w:eastAsia="en-US" w:bidi="ar-SA"/>
        </w:rPr>
        <w:t xml:space="preserve">Товарно-материальные запасы отражаются по наименьшей из двух величин: фактической себестоимости и чистой стоимости возможной реализации. </w:t>
      </w:r>
    </w:p>
    <w:p>
      <w:pPr>
        <w:pStyle w:val="Normal"/>
        <w:tabs>
          <w:tab w:val="clear" w:pos="720"/>
          <w:tab w:val="left" w:pos="9585" w:leader="none"/>
        </w:tabs>
        <w:suppressAutoHyphens w:val="true"/>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 xml:space="preserve">Руководство Группы регулярно оценивает потребность в создании резервов на обесценение запасов. </w:t>
      </w:r>
    </w:p>
    <w:p>
      <w:pPr>
        <w:pStyle w:val="Normal"/>
        <w:tabs>
          <w:tab w:val="clear" w:pos="720"/>
          <w:tab w:val="left" w:pos="9585" w:leader="none"/>
        </w:tabs>
        <w:suppressAutoHyphens w:val="true"/>
        <w:spacing w:before="120" w:after="120"/>
        <w:ind w:right="134" w:hanging="0"/>
        <w:jc w:val="both"/>
        <w:rPr>
          <w:rFonts w:ascii="Cambria" w:hAnsi="Cambria" w:eastAsia="Times New Roman"/>
          <w:sz w:val="20"/>
          <w:szCs w:val="20"/>
          <w:lang w:eastAsia="en-US" w:bidi="ar-SA"/>
        </w:rPr>
      </w:pPr>
      <w:r>
        <w:rPr>
          <w:rFonts w:eastAsia="MS Mincho" w:cs="Arial" w:ascii="Cambria" w:hAnsi="Cambria"/>
          <w:b/>
          <w:sz w:val="20"/>
          <w:szCs w:val="20"/>
          <w:lang w:eastAsia="ja-JP" w:bidi="ar-SA"/>
        </w:rPr>
        <w:t>Снижение стоимости долгосрочных активов.</w:t>
      </w:r>
      <w:r>
        <w:rPr>
          <w:rFonts w:eastAsia="MS Mincho" w:cs="Arial" w:ascii="Cambria" w:hAnsi="Cambria"/>
          <w:sz w:val="20"/>
          <w:szCs w:val="20"/>
          <w:lang w:eastAsia="ja-JP" w:bidi="ar-SA"/>
        </w:rPr>
        <w:t xml:space="preserve"> </w:t>
      </w:r>
      <w:r>
        <w:rPr>
          <w:rFonts w:eastAsia="Times New Roman" w:ascii="Cambria" w:hAnsi="Cambria"/>
          <w:sz w:val="20"/>
          <w:szCs w:val="20"/>
          <w:lang w:eastAsia="en-US" w:bidi="ar-SA"/>
        </w:rPr>
        <w:t>На каждую отчетную дату Компания осуществляет проверку балансовой стоимости своих долгосрочных активов с тем, чтобы определить, имеются ли признаки, свидетельствующие о наличии какого-либо убытка из-за обесценения этих активов. Такие оценки носят субъективный характер.</w:t>
      </w:r>
    </w:p>
    <w:p>
      <w:pPr>
        <w:pStyle w:val="Normal"/>
        <w:tabs>
          <w:tab w:val="clear" w:pos="720"/>
          <w:tab w:val="left" w:pos="9585" w:leader="none"/>
        </w:tabs>
        <w:suppressAutoHyphens w:val="true"/>
        <w:spacing w:before="120" w:after="120"/>
        <w:ind w:right="134" w:hanging="0"/>
        <w:jc w:val="both"/>
        <w:rPr>
          <w:rFonts w:ascii="Cambria" w:hAnsi="Cambria" w:eastAsia="Times New Roman" w:cs="Arial"/>
          <w:sz w:val="20"/>
          <w:szCs w:val="20"/>
          <w:lang w:bidi="ar-SA"/>
        </w:rPr>
      </w:pPr>
      <w:r>
        <w:rPr>
          <w:rFonts w:eastAsia="MS Mincho" w:cs="Arial" w:ascii="Cambria" w:hAnsi="Cambria"/>
          <w:b/>
          <w:sz w:val="20"/>
          <w:szCs w:val="20"/>
          <w:lang w:eastAsia="ja-JP" w:bidi="ar-SA"/>
        </w:rPr>
        <w:t>Резерв на обесценение торговой и прочей дебиторской задолженности.</w:t>
      </w:r>
      <w:r>
        <w:rPr>
          <w:rFonts w:eastAsia="MS Mincho" w:cs="Arial" w:ascii="Cambria" w:hAnsi="Cambria"/>
          <w:sz w:val="20"/>
          <w:szCs w:val="20"/>
          <w:lang w:eastAsia="ja-JP" w:bidi="ar-SA"/>
        </w:rPr>
        <w:t xml:space="preserve"> </w:t>
      </w:r>
      <w:r>
        <w:rPr>
          <w:rFonts w:eastAsia="Times New Roman" w:ascii="Cambria" w:hAnsi="Cambria"/>
          <w:sz w:val="20"/>
          <w:szCs w:val="20"/>
          <w:lang w:eastAsia="en-US" w:bidi="ar-SA"/>
        </w:rPr>
        <w:t>На каждую отчетную дату Компания определяет наличие признаков обесценения дебиторской задолженности.</w:t>
      </w:r>
      <w:r>
        <w:rPr>
          <w:rFonts w:eastAsia="Times New Roman" w:cs="Arial" w:ascii="Cambria" w:hAnsi="Cambria"/>
          <w:sz w:val="20"/>
          <w:szCs w:val="20"/>
          <w:lang w:bidi="ar-SA"/>
        </w:rPr>
        <w:t xml:space="preserve"> </w:t>
      </w:r>
    </w:p>
    <w:p>
      <w:pPr>
        <w:pStyle w:val="Normal"/>
        <w:tabs>
          <w:tab w:val="clear" w:pos="720"/>
          <w:tab w:val="left" w:pos="9585" w:leader="none"/>
        </w:tabs>
        <w:suppressAutoHyphens w:val="true"/>
        <w:spacing w:before="120" w:after="120"/>
        <w:ind w:right="134" w:hanging="0"/>
        <w:jc w:val="both"/>
        <w:rPr>
          <w:rFonts w:ascii="Cambria" w:hAnsi="Cambria" w:eastAsia="Times New Roman" w:cs="Arial"/>
          <w:sz w:val="20"/>
          <w:szCs w:val="20"/>
          <w:lang w:bidi="ar-SA"/>
        </w:rPr>
      </w:pPr>
      <w:r>
        <w:rPr>
          <w:rFonts w:eastAsia="MS Mincho" w:cs="Arial" w:ascii="Cambria" w:hAnsi="Cambria"/>
          <w:b/>
          <w:sz w:val="20"/>
          <w:szCs w:val="20"/>
          <w:lang w:eastAsia="ja-JP" w:bidi="ar-SA"/>
        </w:rPr>
        <w:t xml:space="preserve">Сроки полезного использования основных средств. </w:t>
      </w:r>
      <w:r>
        <w:rPr>
          <w:rFonts w:eastAsia="Times New Roman" w:ascii="Cambria" w:hAnsi="Cambria"/>
          <w:sz w:val="20"/>
          <w:szCs w:val="20"/>
          <w:lang w:eastAsia="en-US" w:bidi="ar-SA"/>
        </w:rPr>
        <w:t>Оценка срока полезного использования объектов основных средств является предметом суждения Руководства, основанного на опыте эксплуатации подобных объектов основных средств. При определении величины срока полезного использования активов Руководство принимает во внимание такие факторы, как темпы технического устаревания, физический износ и условия эксплуатации. Изменения в указанных предпосылках могут повлиять на коэффициенты амортизации в будущем.</w:t>
      </w:r>
      <w:r>
        <w:rPr>
          <w:rFonts w:eastAsia="Times New Roman" w:cs="Arial" w:ascii="Cambria" w:hAnsi="Cambria"/>
          <w:sz w:val="20"/>
          <w:szCs w:val="20"/>
          <w:lang w:bidi="ar-SA"/>
        </w:rPr>
        <w:t xml:space="preserve"> </w:t>
      </w:r>
    </w:p>
    <w:p>
      <w:pPr>
        <w:pStyle w:val="Normal"/>
        <w:spacing w:before="120" w:after="120"/>
        <w:ind w:right="134" w:hanging="0"/>
        <w:jc w:val="both"/>
        <w:rPr>
          <w:rFonts w:ascii="Cambria" w:hAnsi="Cambria" w:eastAsia="Times New Roman"/>
          <w:sz w:val="20"/>
          <w:szCs w:val="20"/>
          <w:lang w:eastAsia="en-US" w:bidi="ar-SA"/>
        </w:rPr>
      </w:pPr>
      <w:r>
        <w:rPr>
          <w:rFonts w:eastAsia="Times New Roman" w:cs="Arial" w:ascii="Cambria" w:hAnsi="Cambria"/>
          <w:b/>
          <w:sz w:val="20"/>
          <w:szCs w:val="20"/>
          <w:lang w:bidi="ar-SA"/>
        </w:rPr>
        <w:t>Налогообложение.</w:t>
      </w:r>
      <w:r>
        <w:rPr>
          <w:rFonts w:eastAsia="Times New Roman" w:cs="Arial" w:ascii="Cambria" w:hAnsi="Cambria"/>
          <w:sz w:val="20"/>
          <w:szCs w:val="20"/>
          <w:lang w:bidi="ar-SA"/>
        </w:rPr>
        <w:t xml:space="preserve"> </w:t>
      </w:r>
      <w:r>
        <w:rPr>
          <w:rFonts w:eastAsia="Times New Roman" w:ascii="Cambria" w:hAnsi="Cambria"/>
          <w:sz w:val="20"/>
          <w:szCs w:val="20"/>
          <w:lang w:eastAsia="en-US" w:bidi="ar-SA"/>
        </w:rPr>
        <w:t>Руководство Группы полагает, что оно достоверно отразило налоговые обязательства и активы в финансовой отчетности.</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Группа признает отложенные налоговые активы и обязательства как результат предполагаемых будущих налоговых последствий существования разниц между стоимостью активов и обязательств в финансовой отчетности и их налоговой базой, а также как результат использования в будущем убытков прошлых лет и предоставления налоговых кредитов с использованием ставок налога, которые предположительно будут действовать на момент погашения этих разниц.</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Справедливая стоимость актива или обязательства оценивается с использованием допущений, которые использовались бы участниками рынка при определении цены актива или обязательства, при этом предполагается, что участники рынка действуют в своих лучших интересах.</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Оценка справедливой стоимости нефинансового актива учитывает возможность участника рынка генерировать экономические выгоды либо посредством использования актива наилучшим и наиболее эффективным образом, либо в результате его продажи другому участнику рынка, который будет использовать данный актив наилучшим и наиболее эффективным образом.</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Группа использует такие методики оценки, которые являются приемлемыми в сложившихся обстоятельствах и для которых доступны данные, достаточные для оценки справедливой стоимости, при этом максимально используя уместные наблюдаемые исходные данные и минимально используя ненаблюдаемые исходные данные.</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 xml:space="preserve">Все активы и обязательства, справедливая стоимость которых оценивается или раскрывается в финансовой отчетности, классифицируются в рамках описанной ниже иерархии источников справедливой стоимости на основе исходных данных самого низкого уровня, которые являются существенными для оценки справедливой стоимости в целом: </w:t>
      </w:r>
    </w:p>
    <w:p>
      <w:pPr>
        <w:pStyle w:val="ListParagraph"/>
        <w:numPr>
          <w:ilvl w:val="0"/>
          <w:numId w:val="2"/>
        </w:numPr>
        <w:spacing w:before="120" w:after="120"/>
        <w:ind w:left="720" w:right="134" w:hanging="360"/>
        <w:jc w:val="both"/>
        <w:rPr>
          <w:rFonts w:ascii="Cambria" w:hAnsi="Cambria" w:eastAsia="Times New Roman"/>
          <w:sz w:val="20"/>
          <w:szCs w:val="20"/>
          <w:lang w:eastAsia="en-US" w:bidi="ar-SA"/>
        </w:rPr>
      </w:pPr>
      <w:r>
        <w:rPr>
          <w:rFonts w:eastAsia="Times New Roman" w:ascii="Cambria" w:hAnsi="Cambria"/>
          <w:sz w:val="20"/>
          <w:szCs w:val="20"/>
          <w:lang w:eastAsia="en-US" w:bidi="ar-SA"/>
        </w:rPr>
        <w:t>Уровень 1 – Рыночные котировки цен на активном рынке по идентичным активам или обязательствам (без каких-либо корректировок);</w:t>
      </w:r>
    </w:p>
    <w:p>
      <w:pPr>
        <w:pStyle w:val="ListParagraph"/>
        <w:numPr>
          <w:ilvl w:val="0"/>
          <w:numId w:val="2"/>
        </w:numPr>
        <w:spacing w:before="120" w:after="120"/>
        <w:ind w:left="720" w:right="134" w:hanging="360"/>
        <w:jc w:val="both"/>
        <w:rPr>
          <w:rFonts w:ascii="Cambria" w:hAnsi="Cambria" w:eastAsia="Times New Roman"/>
          <w:sz w:val="20"/>
          <w:szCs w:val="20"/>
          <w:lang w:eastAsia="en-US" w:bidi="ar-SA"/>
        </w:rPr>
      </w:pPr>
      <w:r>
        <w:rPr>
          <w:rFonts w:eastAsia="Times New Roman" w:ascii="Cambria" w:hAnsi="Cambria"/>
          <w:sz w:val="20"/>
          <w:szCs w:val="20"/>
          <w:lang w:eastAsia="en-US" w:bidi="ar-SA"/>
        </w:rPr>
        <w:t>Уровень 2 – Модели оценки, в которых существенные для оценки справедливой стоимости исходные данные, относящиеся к наиболее низкому уровню иерархии, являются прямо или косвенно наблюдаемыми на рынке;</w:t>
      </w:r>
    </w:p>
    <w:p>
      <w:pPr>
        <w:pStyle w:val="ListParagraph"/>
        <w:numPr>
          <w:ilvl w:val="0"/>
          <w:numId w:val="2"/>
        </w:numPr>
        <w:spacing w:before="120" w:after="120"/>
        <w:ind w:left="720" w:right="134" w:hanging="360"/>
        <w:jc w:val="both"/>
        <w:rPr>
          <w:rFonts w:ascii="Cambria" w:hAnsi="Cambria" w:eastAsia="Times New Roman"/>
          <w:sz w:val="20"/>
          <w:szCs w:val="20"/>
          <w:lang w:eastAsia="en-US" w:bidi="ar-SA"/>
        </w:rPr>
      </w:pPr>
      <w:r>
        <w:rPr>
          <w:rFonts w:eastAsia="Times New Roman" w:ascii="Cambria" w:hAnsi="Cambria"/>
          <w:sz w:val="20"/>
          <w:szCs w:val="20"/>
          <w:lang w:eastAsia="en-US" w:bidi="ar-SA"/>
        </w:rPr>
        <w:t>Уровень 3 – Модели оценки, в которых существенные для оценки справедливой стоимости исходные данные, относящиеся к наиболее низкому уровню иерархии, не являются наблюдаемыми на рынке.</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В случае активов и обязательств, которые переоцениваются в финансовой отчетности на периодической основе, Группа определяет необходимость их перевода между уровнями источников иерархии, повторно анализируя классификацию (на основании исходных данных самого низкого уровня, которые являются существенными для оценки справедливой стоимости в целом) на конец каждого отчетного периода.</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Для целей раскрытия информации о справедливой стоимости Группа классифицировала активы и обязательства на основе их характера, присущих им характеристик и рисков, а также применимого уровня в иерархии источников справедливой стоимости, как указано выше.</w:t>
      </w:r>
      <w:bookmarkStart w:id="19" w:name="_Toc264748656"/>
      <w:bookmarkStart w:id="20" w:name="_Toc264748570"/>
      <w:bookmarkStart w:id="21" w:name="_Toc264748655"/>
      <w:bookmarkStart w:id="22" w:name="_Toc264748569"/>
      <w:bookmarkStart w:id="23" w:name="_Toc398293695"/>
      <w:bookmarkStart w:id="24" w:name="_Toc398293624"/>
      <w:bookmarkStart w:id="25" w:name="_Toc398293694"/>
      <w:bookmarkStart w:id="26" w:name="_Toc398293623"/>
      <w:bookmarkEnd w:id="19"/>
      <w:bookmarkEnd w:id="20"/>
      <w:bookmarkEnd w:id="21"/>
      <w:bookmarkEnd w:id="22"/>
      <w:bookmarkEnd w:id="23"/>
      <w:bookmarkEnd w:id="24"/>
      <w:bookmarkEnd w:id="25"/>
      <w:bookmarkEnd w:id="26"/>
    </w:p>
    <w:p>
      <w:pPr>
        <w:pStyle w:val="Normal"/>
        <w:keepLines/>
        <w:numPr>
          <w:ilvl w:val="0"/>
          <w:numId w:val="0"/>
        </w:numPr>
        <w:spacing w:before="120" w:after="120"/>
        <w:ind w:right="136" w:hanging="0"/>
        <w:outlineLvl w:val="0"/>
        <w:rPr>
          <w:color w:val="000000"/>
        </w:rPr>
      </w:pPr>
      <w:r>
        <w:rPr>
          <w:rFonts w:ascii="Cambria" w:hAnsi="Cambria"/>
          <w:b/>
          <w:color w:val="000000"/>
          <w:sz w:val="20"/>
        </w:rPr>
        <w:t>Новые стандарты и разъяснения</w:t>
      </w:r>
    </w:p>
    <w:p>
      <w:pPr>
        <w:pStyle w:val="Normal"/>
        <w:tabs>
          <w:tab w:val="clear" w:pos="720"/>
          <w:tab w:val="left" w:pos="567" w:leader="none"/>
          <w:tab w:val="left" w:pos="851" w:leader="none"/>
        </w:tabs>
        <w:spacing w:lineRule="auto" w:line="240"/>
        <w:rPr>
          <w:rFonts w:ascii="Calibri" w:hAnsi="Calibri"/>
          <w:b w:val="false"/>
          <w:b w:val="false"/>
          <w:color w:val="000000"/>
          <w:sz w:val="24"/>
          <w:lang w:val="en-US"/>
        </w:rPr>
      </w:pPr>
      <w:r>
        <w:rPr>
          <w:b w:val="false"/>
          <w:color w:val="000000"/>
          <w:sz w:val="24"/>
          <w:lang w:val="en-US"/>
        </w:rPr>
      </w:r>
    </w:p>
    <w:p>
      <w:pPr>
        <w:pStyle w:val="Normal"/>
        <w:tabs>
          <w:tab w:val="clear" w:pos="720"/>
          <w:tab w:val="left" w:pos="567" w:leader="none"/>
          <w:tab w:val="left" w:pos="851" w:leader="none"/>
        </w:tabs>
        <w:spacing w:lineRule="auto" w:line="240"/>
        <w:rPr>
          <w:lang w:val="en-US"/>
        </w:rPr>
      </w:pPr>
      <w:r>
        <w:rPr>
          <w:rFonts w:ascii="Cambria" w:hAnsi="Cambria"/>
          <w:b w:val="false"/>
          <w:color w:val="000000"/>
          <w:sz w:val="24"/>
          <w:lang w:val="en-US"/>
        </w:rPr>
        <w:t>a)</w:t>
        <w:tab/>
      </w:r>
      <w:r>
        <w:rPr>
          <w:rFonts w:ascii="Cambria" w:hAnsi="Cambria"/>
          <w:b w:val="false"/>
          <w:i/>
          <w:color w:val="000000"/>
          <w:sz w:val="20"/>
          <w:lang w:val="ru-RU"/>
        </w:rPr>
        <w:t>Новые стандарты, разъяснения и поправки, вступившие в силу 1</w:t>
      </w:r>
      <w:r>
        <w:rPr>
          <w:rFonts w:ascii="Cambria" w:hAnsi="Cambria"/>
          <w:b w:val="false"/>
          <w:i/>
          <w:color w:val="000000"/>
          <w:sz w:val="20"/>
          <w:lang w:val="en-US"/>
        </w:rPr>
        <w:t> </w:t>
      </w:r>
      <w:r>
        <w:rPr>
          <w:rFonts w:ascii="Cambria" w:hAnsi="Cambria"/>
          <w:b w:val="false"/>
          <w:i/>
          <w:color w:val="000000"/>
          <w:sz w:val="20"/>
          <w:lang w:val="ru-RU"/>
        </w:rPr>
        <w:t>января 2018 года</w:t>
      </w:r>
    </w:p>
    <w:p>
      <w:pPr>
        <w:pStyle w:val="Normal"/>
        <w:spacing w:lineRule="auto" w:line="240" w:before="120" w:after="120"/>
        <w:ind w:right="134" w:hanging="0"/>
        <w:jc w:val="both"/>
        <w:rPr>
          <w:color w:val="000000"/>
        </w:rPr>
      </w:pPr>
      <w:r>
        <w:rPr>
          <w:rFonts w:ascii="Cambria" w:hAnsi="Cambria"/>
          <w:b w:val="false"/>
          <w:i w:val="false"/>
          <w:color w:val="000000"/>
          <w:sz w:val="20"/>
          <w:lang w:val="ru-RU"/>
        </w:rPr>
        <w:t>Новые стандарты, влияющие на годовую финансовую отчетность Компании за период, заканчивающийся 31 декабря 2018 года:</w:t>
      </w:r>
    </w:p>
    <w:p>
      <w:pPr>
        <w:pStyle w:val="Normal"/>
        <w:spacing w:lineRule="auto" w:line="240" w:before="120" w:after="120"/>
        <w:ind w:right="134" w:hanging="0"/>
        <w:jc w:val="both"/>
        <w:rPr>
          <w:lang w:val="en-US"/>
        </w:rPr>
      </w:pPr>
      <w:r>
        <w:rPr>
          <w:rFonts w:ascii="Cambria" w:hAnsi="Cambria"/>
          <w:b w:val="false"/>
          <w:i w:val="false"/>
          <w:color w:val="000000"/>
          <w:sz w:val="20"/>
          <w:lang w:val="en-US"/>
        </w:rPr>
        <w:t xml:space="preserve"> </w:t>
      </w:r>
      <w:r>
        <w:rPr>
          <w:rFonts w:ascii="Cambria" w:hAnsi="Cambria"/>
          <w:b w:val="false"/>
          <w:i w:val="false"/>
          <w:color w:val="000000"/>
          <w:sz w:val="20"/>
          <w:lang w:val="en-US"/>
        </w:rPr>
        <w:t xml:space="preserve">- </w:t>
      </w:r>
      <w:r>
        <w:rPr>
          <w:rFonts w:ascii="Cambria" w:hAnsi="Cambria"/>
          <w:b w:val="false"/>
          <w:i w:val="false"/>
          <w:color w:val="000000"/>
          <w:sz w:val="20"/>
          <w:lang w:val="ru-RU"/>
        </w:rPr>
        <w:t xml:space="preserve">МСФО (IFRS) 9 </w:t>
      </w:r>
      <w:r>
        <w:rPr>
          <w:rFonts w:ascii="Cambria" w:hAnsi="Cambria"/>
          <w:b w:val="false"/>
          <w:i w:val="false"/>
          <w:color w:val="000000"/>
          <w:sz w:val="20"/>
          <w:lang w:val="en-US"/>
        </w:rPr>
        <w:t>«</w:t>
      </w:r>
      <w:r>
        <w:rPr>
          <w:rFonts w:ascii="Cambria" w:hAnsi="Cambria"/>
          <w:b w:val="false"/>
          <w:i w:val="false"/>
          <w:color w:val="000000"/>
          <w:sz w:val="20"/>
          <w:lang w:val="ru-RU"/>
        </w:rPr>
        <w:t>Финансовые инструменты</w:t>
      </w:r>
      <w:r>
        <w:rPr>
          <w:rFonts w:ascii="Cambria" w:hAnsi="Cambria"/>
          <w:b w:val="false"/>
          <w:i w:val="false"/>
          <w:color w:val="000000"/>
          <w:sz w:val="20"/>
          <w:lang w:val="en-US"/>
        </w:rPr>
        <w:t xml:space="preserve">»; </w:t>
      </w:r>
      <w:r>
        <w:rPr>
          <w:rFonts w:ascii="Cambria" w:hAnsi="Cambria"/>
          <w:b w:val="false"/>
          <w:i w:val="false"/>
          <w:color w:val="000000"/>
          <w:sz w:val="20"/>
          <w:lang w:val="ru-RU"/>
        </w:rPr>
        <w:t>и</w:t>
      </w:r>
    </w:p>
    <w:p>
      <w:pPr>
        <w:pStyle w:val="Normal"/>
        <w:spacing w:lineRule="auto" w:line="240" w:before="120" w:after="120"/>
        <w:ind w:right="134" w:hanging="0"/>
        <w:jc w:val="both"/>
        <w:rPr>
          <w:lang w:val="en-US"/>
        </w:rPr>
      </w:pPr>
      <w:r>
        <w:rPr>
          <w:rFonts w:ascii="Cambria" w:hAnsi="Cambria"/>
          <w:b w:val="false"/>
          <w:i w:val="false"/>
          <w:color w:val="000000"/>
          <w:sz w:val="20"/>
          <w:lang w:val="en-US"/>
        </w:rPr>
        <w:t xml:space="preserve">-  </w:t>
      </w:r>
      <w:r>
        <w:rPr>
          <w:rFonts w:ascii="Cambria" w:hAnsi="Cambria"/>
          <w:b w:val="false"/>
          <w:i w:val="false"/>
          <w:color w:val="000000"/>
          <w:sz w:val="20"/>
          <w:lang w:val="ru-RU"/>
        </w:rPr>
        <w:t xml:space="preserve">МСФО (IFRS) 15 </w:t>
      </w:r>
      <w:r>
        <w:rPr>
          <w:rFonts w:ascii="Cambria" w:hAnsi="Cambria"/>
          <w:b w:val="false"/>
          <w:i w:val="false"/>
          <w:color w:val="000000"/>
          <w:sz w:val="20"/>
          <w:lang w:val="en-US"/>
        </w:rPr>
        <w:t>«</w:t>
      </w:r>
      <w:r>
        <w:rPr>
          <w:rFonts w:ascii="Cambria" w:hAnsi="Cambria"/>
          <w:b w:val="false"/>
          <w:i w:val="false"/>
          <w:color w:val="000000"/>
          <w:sz w:val="20"/>
          <w:lang w:val="ru-RU"/>
        </w:rPr>
        <w:t>Выручка по договорам с покупателями</w:t>
      </w:r>
      <w:r>
        <w:rPr>
          <w:rFonts w:ascii="Cambria" w:hAnsi="Cambria"/>
          <w:b w:val="false"/>
          <w:i w:val="false"/>
          <w:color w:val="000000"/>
          <w:sz w:val="20"/>
          <w:lang w:val="en-US"/>
        </w:rPr>
        <w:t>».</w:t>
      </w:r>
    </w:p>
    <w:p>
      <w:pPr>
        <w:pStyle w:val="Normal"/>
        <w:spacing w:lineRule="auto" w:line="240" w:before="120" w:after="120"/>
        <w:ind w:right="134" w:hanging="0"/>
        <w:jc w:val="both"/>
        <w:rPr>
          <w:lang w:val="ru-RU"/>
        </w:rPr>
      </w:pPr>
      <w:r>
        <w:rPr>
          <w:rFonts w:ascii="Cambria" w:hAnsi="Cambria"/>
          <w:b w:val="false"/>
          <w:i w:val="false"/>
          <w:color w:val="000000"/>
          <w:sz w:val="20"/>
          <w:lang w:val="ru-RU"/>
        </w:rPr>
        <w:t>Вышеуказанные стандарты применены  и для сравнительного периода представленного в  отчетности.</w:t>
      </w:r>
    </w:p>
    <w:p>
      <w:pPr>
        <w:pStyle w:val="Normal"/>
        <w:spacing w:lineRule="auto" w:line="240" w:before="120" w:after="120"/>
        <w:ind w:right="134" w:hanging="0"/>
        <w:jc w:val="both"/>
        <w:rPr>
          <w:lang w:val="ru-RU"/>
        </w:rPr>
      </w:pPr>
      <w:r>
        <w:rPr>
          <w:rFonts w:ascii="Cambria" w:hAnsi="Cambria"/>
          <w:b w:val="false"/>
          <w:i w:val="false"/>
          <w:color w:val="000000"/>
          <w:sz w:val="20"/>
          <w:lang w:val="ru-RU"/>
        </w:rPr>
        <w:t>Другие новые стандарты, а также поправки к стандартам и разъяснениям, выпущенные Советом по МСФО, которые впервые применимы к текущей годовой финансовой отчетности (перечислены ниже), не оказывают влияние на Компанию, так как либо не относятся к деятельности Компании, либо требуют учет, который соответствует ее текущей учетной политике:</w:t>
      </w:r>
    </w:p>
    <w:p>
      <w:pPr>
        <w:pStyle w:val="Normal"/>
        <w:spacing w:lineRule="auto" w:line="240" w:before="120" w:after="120"/>
        <w:ind w:right="134" w:hanging="0"/>
        <w:jc w:val="both"/>
        <w:rPr>
          <w:lang w:val="ru-RU"/>
        </w:rPr>
      </w:pPr>
      <w:r>
        <w:rPr>
          <w:rFonts w:ascii="Cambria" w:hAnsi="Cambria"/>
          <w:b w:val="false"/>
          <w:i w:val="false"/>
          <w:color w:val="000000"/>
          <w:sz w:val="20"/>
          <w:lang w:val="ru-RU"/>
        </w:rPr>
        <w:t xml:space="preserve">Разъяснение КРМФО (IFRIC) 22 </w:t>
      </w:r>
      <w:r>
        <w:rPr>
          <w:rFonts w:ascii="Cambria" w:hAnsi="Cambria"/>
          <w:b w:val="false"/>
          <w:i w:val="false"/>
          <w:color w:val="000000"/>
          <w:sz w:val="20"/>
          <w:lang w:val="en-US"/>
        </w:rPr>
        <w:t>«</w:t>
      </w:r>
      <w:r>
        <w:rPr>
          <w:rFonts w:ascii="Cambria" w:hAnsi="Cambria"/>
          <w:b w:val="false"/>
          <w:i w:val="false"/>
          <w:color w:val="000000"/>
          <w:sz w:val="20"/>
          <w:lang w:val="ru-RU"/>
        </w:rPr>
        <w:t>Операции в иностранной валюте и предварительная оплата</w:t>
      </w:r>
      <w:r>
        <w:rPr>
          <w:rFonts w:ascii="Cambria" w:hAnsi="Cambria"/>
          <w:b w:val="false"/>
          <w:i w:val="false"/>
          <w:color w:val="000000"/>
          <w:sz w:val="20"/>
          <w:lang w:val="en-US"/>
        </w:rPr>
        <w:t>»;</w:t>
      </w:r>
    </w:p>
    <w:p>
      <w:pPr>
        <w:pStyle w:val="Normal"/>
        <w:spacing w:lineRule="auto" w:line="240" w:before="120" w:after="120"/>
        <w:ind w:right="134" w:hanging="0"/>
        <w:jc w:val="both"/>
        <w:rPr>
          <w:lang w:val="ru-RU"/>
        </w:rPr>
      </w:pPr>
      <w:r>
        <w:rPr>
          <w:rFonts w:ascii="Cambria" w:hAnsi="Cambria"/>
          <w:b w:val="false"/>
          <w:i w:val="false"/>
          <w:color w:val="000000"/>
          <w:sz w:val="20"/>
          <w:lang w:val="en-US"/>
        </w:rPr>
        <w:t xml:space="preserve">- </w:t>
      </w:r>
      <w:r>
        <w:rPr>
          <w:rFonts w:ascii="Cambria" w:hAnsi="Cambria"/>
          <w:b w:val="false"/>
          <w:i w:val="false"/>
          <w:color w:val="000000"/>
          <w:sz w:val="20"/>
          <w:lang w:val="ru-RU"/>
        </w:rPr>
        <w:t xml:space="preserve">Поправка к МСФО (IFRS) 2 </w:t>
      </w:r>
      <w:r>
        <w:rPr>
          <w:rFonts w:ascii="Cambria" w:hAnsi="Cambria"/>
          <w:b w:val="false"/>
          <w:i w:val="false"/>
          <w:color w:val="000000"/>
          <w:sz w:val="20"/>
          <w:lang w:val="en-US"/>
        </w:rPr>
        <w:t>«</w:t>
      </w:r>
      <w:r>
        <w:rPr>
          <w:rFonts w:ascii="Cambria" w:hAnsi="Cambria"/>
          <w:b w:val="false"/>
          <w:i w:val="false"/>
          <w:color w:val="000000"/>
          <w:sz w:val="20"/>
          <w:lang w:val="ru-RU"/>
        </w:rPr>
        <w:t>Выплаты на основе акций</w:t>
      </w:r>
      <w:r>
        <w:rPr>
          <w:rFonts w:ascii="Cambria" w:hAnsi="Cambria"/>
          <w:b w:val="false"/>
          <w:i w:val="false"/>
          <w:color w:val="000000"/>
          <w:sz w:val="20"/>
          <w:lang w:val="en-US"/>
        </w:rPr>
        <w:t xml:space="preserve">» - </w:t>
      </w:r>
      <w:r>
        <w:rPr>
          <w:rFonts w:ascii="Cambria" w:hAnsi="Cambria"/>
          <w:b w:val="false"/>
          <w:i w:val="false"/>
          <w:color w:val="000000"/>
          <w:sz w:val="20"/>
          <w:lang w:val="ru-RU"/>
        </w:rPr>
        <w:t>Классификация и оценка</w:t>
      </w:r>
      <w:r>
        <w:rPr>
          <w:rFonts w:ascii="Cambria" w:hAnsi="Cambria"/>
          <w:b w:val="false"/>
          <w:i w:val="false"/>
          <w:color w:val="000000"/>
          <w:sz w:val="20"/>
          <w:lang w:val="en-US"/>
        </w:rPr>
        <w:t> </w:t>
      </w:r>
      <w:r>
        <w:rPr>
          <w:rFonts w:ascii="Cambria" w:hAnsi="Cambria"/>
          <w:b w:val="false"/>
          <w:i w:val="false"/>
          <w:color w:val="000000"/>
          <w:sz w:val="20"/>
          <w:lang w:val="ru-RU"/>
        </w:rPr>
        <w:t>операций по выплатам на основе акций</w:t>
      </w:r>
      <w:r>
        <w:rPr>
          <w:rFonts w:ascii="Cambria" w:hAnsi="Cambria"/>
          <w:b w:val="false"/>
          <w:i w:val="false"/>
          <w:color w:val="000000"/>
          <w:sz w:val="20"/>
          <w:lang w:val="en-US"/>
        </w:rPr>
        <w:t>»;</w:t>
      </w:r>
    </w:p>
    <w:p>
      <w:pPr>
        <w:pStyle w:val="Normal"/>
        <w:spacing w:lineRule="auto" w:line="240" w:before="120" w:after="120"/>
        <w:ind w:right="134" w:hanging="0"/>
        <w:jc w:val="both"/>
        <w:rPr>
          <w:lang w:val="ru-RU"/>
        </w:rPr>
      </w:pPr>
      <w:r>
        <w:rPr>
          <w:rFonts w:ascii="Cambria" w:hAnsi="Cambria"/>
          <w:b w:val="false"/>
          <w:i w:val="false"/>
          <w:color w:val="000000"/>
          <w:sz w:val="20"/>
          <w:lang w:val="en-US"/>
        </w:rPr>
        <w:t xml:space="preserve">- </w:t>
      </w:r>
      <w:r>
        <w:rPr>
          <w:rFonts w:ascii="Cambria" w:hAnsi="Cambria"/>
          <w:b w:val="false"/>
          <w:i w:val="false"/>
          <w:color w:val="000000"/>
          <w:sz w:val="20"/>
          <w:lang w:val="ru-RU"/>
        </w:rPr>
        <w:t xml:space="preserve">Поправка к МСФО (IFRS) 4 </w:t>
      </w:r>
      <w:r>
        <w:rPr>
          <w:rFonts w:ascii="Cambria" w:hAnsi="Cambria"/>
          <w:b w:val="false"/>
          <w:i w:val="false"/>
          <w:color w:val="000000"/>
          <w:sz w:val="20"/>
          <w:lang w:val="en-US"/>
        </w:rPr>
        <w:t>«</w:t>
      </w:r>
      <w:r>
        <w:rPr>
          <w:rFonts w:ascii="Cambria" w:hAnsi="Cambria"/>
          <w:b w:val="false"/>
          <w:i w:val="false"/>
          <w:color w:val="000000"/>
          <w:sz w:val="20"/>
          <w:lang w:val="ru-RU"/>
        </w:rPr>
        <w:t>Договоры страхования</w:t>
      </w:r>
      <w:r>
        <w:rPr>
          <w:rFonts w:ascii="Cambria" w:hAnsi="Cambria"/>
          <w:b w:val="false"/>
          <w:i w:val="false"/>
          <w:color w:val="000000"/>
          <w:sz w:val="20"/>
          <w:lang w:val="en-US"/>
        </w:rPr>
        <w:t xml:space="preserve">» - </w:t>
      </w:r>
      <w:r>
        <w:rPr>
          <w:rFonts w:ascii="Cambria" w:hAnsi="Cambria"/>
          <w:b w:val="false"/>
          <w:i w:val="false"/>
          <w:color w:val="000000"/>
          <w:sz w:val="20"/>
          <w:lang w:val="ru-RU"/>
        </w:rPr>
        <w:t xml:space="preserve">Применение МСФО (IFRS) 9 </w:t>
      </w:r>
      <w:r>
        <w:rPr>
          <w:rFonts w:ascii="Cambria" w:hAnsi="Cambria"/>
          <w:b w:val="false"/>
          <w:i w:val="false"/>
          <w:color w:val="000000"/>
          <w:sz w:val="20"/>
          <w:lang w:val="en-US"/>
        </w:rPr>
        <w:t>«</w:t>
      </w:r>
      <w:r>
        <w:rPr>
          <w:rFonts w:ascii="Cambria" w:hAnsi="Cambria"/>
          <w:b w:val="false"/>
          <w:i w:val="false"/>
          <w:color w:val="000000"/>
          <w:sz w:val="20"/>
          <w:lang w:val="ru-RU"/>
        </w:rPr>
        <w:t xml:space="preserve">Финансовые инструменты </w:t>
      </w:r>
      <w:r>
        <w:rPr>
          <w:rFonts w:ascii="Cambria" w:hAnsi="Cambria"/>
          <w:b w:val="false"/>
          <w:i w:val="false"/>
          <w:color w:val="000000"/>
          <w:sz w:val="20"/>
          <w:lang w:val="en-US"/>
        </w:rPr>
        <w:t>«</w:t>
      </w:r>
      <w:r>
        <w:rPr>
          <w:rFonts w:ascii="Cambria" w:hAnsi="Cambria"/>
          <w:b w:val="false"/>
          <w:i w:val="false"/>
          <w:color w:val="000000"/>
          <w:sz w:val="20"/>
          <w:lang w:val="ru-RU"/>
        </w:rPr>
        <w:t xml:space="preserve">и МСФО (IFRS) 4 </w:t>
      </w:r>
      <w:r>
        <w:rPr>
          <w:rFonts w:ascii="Cambria" w:hAnsi="Cambria"/>
          <w:b w:val="false"/>
          <w:i w:val="false"/>
          <w:color w:val="000000"/>
          <w:sz w:val="20"/>
          <w:lang w:val="en-US"/>
        </w:rPr>
        <w:t>«</w:t>
      </w:r>
      <w:r>
        <w:rPr>
          <w:rFonts w:ascii="Cambria" w:hAnsi="Cambria"/>
          <w:b w:val="false"/>
          <w:i w:val="false"/>
          <w:color w:val="000000"/>
          <w:sz w:val="20"/>
          <w:lang w:val="ru-RU"/>
        </w:rPr>
        <w:t>Договоры страхования</w:t>
      </w:r>
      <w:r>
        <w:rPr>
          <w:rFonts w:ascii="Cambria" w:hAnsi="Cambria"/>
          <w:b w:val="false"/>
          <w:i w:val="false"/>
          <w:color w:val="000000"/>
          <w:sz w:val="20"/>
          <w:lang w:val="en-US"/>
        </w:rPr>
        <w:t>»;</w:t>
      </w:r>
    </w:p>
    <w:p>
      <w:pPr>
        <w:pStyle w:val="Normal"/>
        <w:spacing w:lineRule="auto" w:line="240" w:before="120" w:after="120"/>
        <w:ind w:right="134" w:hanging="0"/>
        <w:jc w:val="both"/>
        <w:rPr>
          <w:lang w:val="ru-RU"/>
        </w:rPr>
      </w:pPr>
      <w:r>
        <w:rPr>
          <w:rFonts w:ascii="Cambria" w:hAnsi="Cambria"/>
          <w:b w:val="false"/>
          <w:i w:val="false"/>
          <w:color w:val="000000"/>
          <w:sz w:val="20"/>
          <w:lang w:val="en-US"/>
        </w:rPr>
        <w:t xml:space="preserve">- </w:t>
      </w:r>
      <w:r>
        <w:rPr>
          <w:rFonts w:ascii="Cambria" w:hAnsi="Cambria"/>
          <w:b w:val="false"/>
          <w:i w:val="false"/>
          <w:color w:val="000000"/>
          <w:sz w:val="20"/>
          <w:lang w:val="ru-RU"/>
        </w:rPr>
        <w:t xml:space="preserve">Поправка к МСФО (IAS) 40 </w:t>
      </w:r>
      <w:r>
        <w:rPr>
          <w:rFonts w:ascii="Cambria" w:hAnsi="Cambria"/>
          <w:b w:val="false"/>
          <w:i w:val="false"/>
          <w:color w:val="000000"/>
          <w:sz w:val="20"/>
          <w:lang w:val="en-US"/>
        </w:rPr>
        <w:t>«</w:t>
      </w:r>
      <w:r>
        <w:rPr>
          <w:rFonts w:ascii="Cambria" w:hAnsi="Cambria"/>
          <w:b w:val="false"/>
          <w:i w:val="false"/>
          <w:color w:val="000000"/>
          <w:sz w:val="20"/>
          <w:lang w:val="ru-RU"/>
        </w:rPr>
        <w:t>Инвестиционная недвижимость</w:t>
      </w:r>
      <w:r>
        <w:rPr>
          <w:rFonts w:ascii="Cambria" w:hAnsi="Cambria"/>
          <w:b w:val="false"/>
          <w:i w:val="false"/>
          <w:color w:val="000000"/>
          <w:sz w:val="20"/>
          <w:lang w:val="en-US"/>
        </w:rPr>
        <w:t xml:space="preserve">» - </w:t>
      </w:r>
      <w:r>
        <w:rPr>
          <w:rFonts w:ascii="Cambria" w:hAnsi="Cambria"/>
          <w:b w:val="false"/>
          <w:i w:val="false"/>
          <w:color w:val="000000"/>
          <w:sz w:val="20"/>
          <w:lang w:val="ru-RU"/>
        </w:rPr>
        <w:t>Перевод недвижимости в категорию/из категории инвестиционной недвижимости;</w:t>
      </w:r>
    </w:p>
    <w:p>
      <w:pPr>
        <w:pStyle w:val="Normal"/>
        <w:spacing w:lineRule="auto" w:line="240" w:before="120" w:after="120"/>
        <w:ind w:right="134" w:hanging="0"/>
        <w:jc w:val="both"/>
        <w:rPr>
          <w:lang w:val="en-US"/>
        </w:rPr>
      </w:pPr>
      <w:r>
        <w:rPr>
          <w:rFonts w:ascii="Cambria" w:hAnsi="Cambria"/>
          <w:b w:val="false"/>
          <w:i w:val="false"/>
          <w:color w:val="000000"/>
          <w:sz w:val="20"/>
          <w:lang w:val="en-US"/>
        </w:rPr>
        <w:t xml:space="preserve">- </w:t>
      </w:r>
      <w:r>
        <w:rPr>
          <w:rFonts w:ascii="Cambria" w:hAnsi="Cambria"/>
          <w:b w:val="false"/>
          <w:i w:val="false"/>
          <w:color w:val="000000"/>
          <w:sz w:val="20"/>
          <w:lang w:val="ru-RU"/>
        </w:rPr>
        <w:t xml:space="preserve">Ежегодное улучшение МСФО (IFRS) за период 2014-2016 касательно затруднений, связанных с МСФО (IFRS) 1 </w:t>
      </w:r>
      <w:r>
        <w:rPr>
          <w:rFonts w:ascii="Cambria" w:hAnsi="Cambria"/>
          <w:b w:val="false"/>
          <w:i w:val="false"/>
          <w:color w:val="000000"/>
          <w:sz w:val="20"/>
          <w:lang w:val="en-US"/>
        </w:rPr>
        <w:t>«</w:t>
      </w:r>
      <w:r>
        <w:rPr>
          <w:rFonts w:ascii="Cambria" w:hAnsi="Cambria"/>
          <w:b w:val="false"/>
          <w:i w:val="false"/>
          <w:color w:val="000000"/>
          <w:sz w:val="20"/>
          <w:lang w:val="ru-RU"/>
        </w:rPr>
        <w:t>Первое применение МСФО</w:t>
      </w:r>
      <w:r>
        <w:rPr>
          <w:rFonts w:ascii="Cambria" w:hAnsi="Cambria"/>
          <w:b w:val="false"/>
          <w:i w:val="false"/>
          <w:color w:val="000000"/>
          <w:sz w:val="20"/>
          <w:lang w:val="en-US"/>
        </w:rPr>
        <w:t xml:space="preserve">» </w:t>
      </w:r>
      <w:r>
        <w:rPr>
          <w:rFonts w:ascii="Cambria" w:hAnsi="Cambria"/>
          <w:b w:val="false"/>
          <w:i w:val="false"/>
          <w:color w:val="000000"/>
          <w:sz w:val="20"/>
          <w:lang w:val="ru-RU"/>
        </w:rPr>
        <w:t xml:space="preserve">и МСФО (IAS) 28 </w:t>
      </w:r>
      <w:r>
        <w:rPr>
          <w:rFonts w:ascii="Cambria" w:hAnsi="Cambria"/>
          <w:b w:val="false"/>
          <w:i w:val="false"/>
          <w:color w:val="000000"/>
          <w:sz w:val="20"/>
          <w:lang w:val="en-US"/>
        </w:rPr>
        <w:t>«</w:t>
      </w:r>
      <w:r>
        <w:rPr>
          <w:rFonts w:ascii="Cambria" w:hAnsi="Cambria"/>
          <w:b w:val="false"/>
          <w:i w:val="false"/>
          <w:color w:val="000000"/>
          <w:sz w:val="20"/>
          <w:lang w:val="ru-RU"/>
        </w:rPr>
        <w:t>Инвестиции в ассоциированные компании и совместные предприятия</w:t>
      </w:r>
      <w:r>
        <w:rPr>
          <w:rFonts w:ascii="Cambria" w:hAnsi="Cambria"/>
          <w:b w:val="false"/>
          <w:i w:val="false"/>
          <w:color w:val="000000"/>
          <w:sz w:val="20"/>
          <w:lang w:val="en-US"/>
        </w:rPr>
        <w:t>».</w:t>
      </w:r>
    </w:p>
    <w:p>
      <w:pPr>
        <w:pStyle w:val="Normal"/>
        <w:spacing w:lineRule="auto" w:line="240" w:before="120" w:after="120"/>
        <w:ind w:right="134" w:hanging="0"/>
        <w:jc w:val="both"/>
        <w:rPr>
          <w:rFonts w:ascii="Cambria" w:hAnsi="Cambria"/>
          <w:b w:val="false"/>
          <w:b w:val="false"/>
          <w:i w:val="false"/>
          <w:i w:val="false"/>
          <w:color w:val="000000"/>
          <w:sz w:val="24"/>
          <w:lang w:val="en-US"/>
        </w:rPr>
      </w:pPr>
      <w:r>
        <w:rPr>
          <w:rFonts w:ascii="Cambria" w:hAnsi="Cambria"/>
          <w:b w:val="false"/>
          <w:i w:val="false"/>
          <w:color w:val="000000"/>
          <w:sz w:val="24"/>
          <w:lang w:val="en-US"/>
        </w:rPr>
      </w:r>
    </w:p>
    <w:p>
      <w:pPr>
        <w:pStyle w:val="Normal"/>
        <w:tabs>
          <w:tab w:val="clear" w:pos="720"/>
          <w:tab w:val="left" w:pos="567" w:leader="none"/>
          <w:tab w:val="left" w:pos="851" w:leader="none"/>
        </w:tabs>
        <w:spacing w:lineRule="auto" w:line="240"/>
        <w:rPr>
          <w:lang w:val="ru-RU"/>
        </w:rPr>
      </w:pPr>
      <w:r>
        <w:rPr>
          <w:rFonts w:ascii="Cambria" w:hAnsi="Cambria"/>
          <w:b w:val="false"/>
          <w:i/>
          <w:color w:val="000000"/>
          <w:sz w:val="20"/>
          <w:lang w:val="ru-RU"/>
        </w:rPr>
        <w:t>б) Новые стандарты, разъяснения и поправки, выпущенные, но еще не вступившие в силу</w:t>
      </w:r>
    </w:p>
    <w:p>
      <w:pPr>
        <w:pStyle w:val="Normal"/>
        <w:spacing w:lineRule="auto" w:line="240" w:before="120" w:after="120"/>
        <w:ind w:right="134" w:hanging="0"/>
        <w:jc w:val="both"/>
        <w:rPr>
          <w:color w:val="000000"/>
        </w:rPr>
      </w:pPr>
      <w:r>
        <w:rPr>
          <w:rFonts w:ascii="Cambria" w:hAnsi="Cambria"/>
          <w:b w:val="false"/>
          <w:i w:val="false"/>
          <w:color w:val="000000"/>
          <w:sz w:val="20"/>
          <w:lang w:val="ru-RU"/>
        </w:rPr>
        <w:t xml:space="preserve">Ряд стандартов, поправок к стандартам и разъяснениям, выпущенные Советом по МСФО, вступят в силу в будущих отчетных периодах и не применены Компанией досрочно. </w:t>
      </w:r>
    </w:p>
    <w:p>
      <w:pPr>
        <w:pStyle w:val="Normal"/>
        <w:spacing w:lineRule="auto" w:line="240" w:before="120" w:after="120"/>
        <w:ind w:right="134" w:hanging="0"/>
        <w:jc w:val="both"/>
        <w:rPr>
          <w:color w:val="000000"/>
        </w:rPr>
      </w:pPr>
      <w:r>
        <w:rPr>
          <w:rFonts w:ascii="Cambria" w:hAnsi="Cambria"/>
          <w:b w:val="false"/>
          <w:i w:val="false"/>
          <w:color w:val="000000"/>
          <w:sz w:val="20"/>
          <w:lang w:val="ru-RU"/>
        </w:rPr>
        <w:t>Наиболее значительными из них являются:</w:t>
      </w:r>
    </w:p>
    <w:p>
      <w:pPr>
        <w:pStyle w:val="Normal"/>
        <w:spacing w:lineRule="auto" w:line="240" w:before="120" w:after="120"/>
        <w:ind w:right="134" w:hanging="0"/>
        <w:jc w:val="both"/>
        <w:rPr>
          <w:lang w:val="en-US"/>
        </w:rPr>
      </w:pPr>
      <w:r>
        <w:rPr>
          <w:rFonts w:ascii="Cambria" w:hAnsi="Cambria"/>
          <w:b w:val="false"/>
          <w:i w:val="false"/>
          <w:color w:val="000000"/>
          <w:sz w:val="20"/>
          <w:lang w:val="en-US"/>
        </w:rPr>
        <w:t xml:space="preserve">- </w:t>
        <w:tab/>
      </w:r>
      <w:r>
        <w:rPr>
          <w:rFonts w:ascii="Cambria" w:hAnsi="Cambria"/>
          <w:b w:val="false"/>
          <w:i w:val="false"/>
          <w:color w:val="000000"/>
          <w:sz w:val="20"/>
          <w:lang w:val="ru-RU"/>
        </w:rPr>
        <w:t xml:space="preserve">МСФО (IFRS) 16 </w:t>
      </w:r>
      <w:r>
        <w:rPr>
          <w:rFonts w:ascii="Cambria" w:hAnsi="Cambria"/>
          <w:b w:val="false"/>
          <w:i w:val="false"/>
          <w:color w:val="000000"/>
          <w:sz w:val="20"/>
          <w:lang w:val="en-US"/>
        </w:rPr>
        <w:t>«</w:t>
      </w:r>
      <w:r>
        <w:rPr>
          <w:rFonts w:ascii="Cambria" w:hAnsi="Cambria"/>
          <w:b w:val="false"/>
          <w:i w:val="false"/>
          <w:color w:val="000000"/>
          <w:sz w:val="20"/>
          <w:lang w:val="ru-RU"/>
        </w:rPr>
        <w:t>Аренда</w:t>
      </w:r>
      <w:r>
        <w:rPr>
          <w:rFonts w:ascii="Cambria" w:hAnsi="Cambria"/>
          <w:b w:val="false"/>
          <w:i w:val="false"/>
          <w:color w:val="000000"/>
          <w:sz w:val="20"/>
          <w:lang w:val="en-US"/>
        </w:rPr>
        <w:t>» (</w:t>
      </w:r>
      <w:r>
        <w:rPr>
          <w:rFonts w:ascii="Cambria" w:hAnsi="Cambria"/>
          <w:b w:val="false"/>
          <w:i w:val="false"/>
          <w:color w:val="000000"/>
          <w:sz w:val="20"/>
          <w:lang w:val="ru-RU"/>
        </w:rPr>
        <w:t>вступает в силу с 1 января 2019 года);</w:t>
      </w:r>
    </w:p>
    <w:p>
      <w:pPr>
        <w:pStyle w:val="Normal"/>
        <w:spacing w:lineRule="auto" w:line="240" w:before="120" w:after="120"/>
        <w:ind w:right="134" w:hanging="0"/>
        <w:jc w:val="both"/>
        <w:rPr>
          <w:lang w:val="en-US"/>
        </w:rPr>
      </w:pPr>
      <w:r>
        <w:rPr>
          <w:rFonts w:ascii="Cambria" w:hAnsi="Cambria"/>
          <w:b w:val="false"/>
          <w:i w:val="false"/>
          <w:color w:val="000000"/>
          <w:sz w:val="20"/>
          <w:lang w:val="en-US"/>
        </w:rPr>
        <w:t xml:space="preserve">- </w:t>
        <w:tab/>
      </w:r>
      <w:r>
        <w:rPr>
          <w:rFonts w:ascii="Cambria" w:hAnsi="Cambria"/>
          <w:b w:val="false"/>
          <w:i w:val="false"/>
          <w:color w:val="000000"/>
          <w:sz w:val="20"/>
          <w:lang w:val="ru-RU"/>
        </w:rPr>
        <w:t xml:space="preserve">Разъяснение КРМФО (IFRIC) 23 </w:t>
      </w:r>
      <w:r>
        <w:rPr>
          <w:rFonts w:ascii="Cambria" w:hAnsi="Cambria"/>
          <w:b w:val="false"/>
          <w:i w:val="false"/>
          <w:color w:val="000000"/>
          <w:sz w:val="20"/>
          <w:lang w:val="en-US"/>
        </w:rPr>
        <w:t>«</w:t>
      </w:r>
      <w:r>
        <w:rPr>
          <w:rFonts w:ascii="Cambria" w:hAnsi="Cambria"/>
          <w:b w:val="false"/>
          <w:i w:val="false"/>
          <w:color w:val="000000"/>
          <w:sz w:val="20"/>
          <w:lang w:val="ru-RU"/>
        </w:rPr>
        <w:t>Неопределенность</w:t>
      </w:r>
      <w:r>
        <w:rPr>
          <w:rFonts w:ascii="Cambria" w:hAnsi="Cambria"/>
          <w:b w:val="false"/>
          <w:i w:val="false"/>
          <w:color w:val="000000"/>
          <w:sz w:val="20"/>
          <w:lang w:val="en-US"/>
        </w:rPr>
        <w:t> </w:t>
      </w:r>
      <w:r>
        <w:rPr>
          <w:rFonts w:ascii="Cambria" w:hAnsi="Cambria"/>
          <w:b w:val="false"/>
          <w:i w:val="false"/>
          <w:color w:val="000000"/>
          <w:sz w:val="20"/>
          <w:lang w:val="ru-RU"/>
        </w:rPr>
        <w:t>в</w:t>
      </w:r>
      <w:r>
        <w:rPr>
          <w:rFonts w:ascii="Cambria" w:hAnsi="Cambria"/>
          <w:b w:val="false"/>
          <w:i w:val="false"/>
          <w:color w:val="000000"/>
          <w:sz w:val="20"/>
          <w:lang w:val="en-US"/>
        </w:rPr>
        <w:t> </w:t>
      </w:r>
      <w:r>
        <w:rPr>
          <w:rFonts w:ascii="Cambria" w:hAnsi="Cambria"/>
          <w:b w:val="false"/>
          <w:i w:val="false"/>
          <w:color w:val="000000"/>
          <w:sz w:val="20"/>
          <w:lang w:val="ru-RU"/>
        </w:rPr>
        <w:t>отношении правил исчисления налога</w:t>
      </w:r>
      <w:r>
        <w:rPr>
          <w:rFonts w:ascii="Cambria" w:hAnsi="Cambria"/>
          <w:b w:val="false"/>
          <w:i w:val="false"/>
          <w:color w:val="000000"/>
          <w:sz w:val="20"/>
          <w:lang w:val="en-US"/>
        </w:rPr>
        <w:t> </w:t>
      </w:r>
      <w:r>
        <w:rPr>
          <w:rFonts w:ascii="Cambria" w:hAnsi="Cambria"/>
          <w:b w:val="false"/>
          <w:i w:val="false"/>
          <w:color w:val="000000"/>
          <w:sz w:val="20"/>
          <w:lang w:val="ru-RU"/>
        </w:rPr>
        <w:t>на</w:t>
      </w:r>
      <w:r>
        <w:rPr>
          <w:rFonts w:ascii="Cambria" w:hAnsi="Cambria"/>
          <w:b w:val="false"/>
          <w:i w:val="false"/>
          <w:color w:val="000000"/>
          <w:sz w:val="20"/>
          <w:lang w:val="en-US"/>
        </w:rPr>
        <w:t> </w:t>
      </w:r>
      <w:r>
        <w:rPr>
          <w:rFonts w:ascii="Cambria" w:hAnsi="Cambria"/>
          <w:b w:val="false"/>
          <w:i w:val="false"/>
          <w:color w:val="000000"/>
          <w:sz w:val="20"/>
          <w:lang w:val="ru-RU"/>
        </w:rPr>
        <w:t>прибыль</w:t>
      </w:r>
      <w:r>
        <w:rPr>
          <w:rFonts w:ascii="Cambria" w:hAnsi="Cambria"/>
          <w:b w:val="false"/>
          <w:i w:val="false"/>
          <w:color w:val="000000"/>
          <w:sz w:val="20"/>
          <w:lang w:val="en-US"/>
        </w:rPr>
        <w:t>» (</w:t>
      </w:r>
      <w:r>
        <w:rPr>
          <w:rFonts w:ascii="Cambria" w:hAnsi="Cambria"/>
          <w:b w:val="false"/>
          <w:i w:val="false"/>
          <w:color w:val="000000"/>
          <w:sz w:val="20"/>
          <w:lang w:val="ru-RU"/>
        </w:rPr>
        <w:t>вступает в силу с 1 января 2019 года).</w:t>
      </w:r>
    </w:p>
    <w:p>
      <w:pPr>
        <w:pStyle w:val="Normal"/>
        <w:spacing w:lineRule="auto" w:line="240" w:before="120" w:after="120"/>
        <w:ind w:right="134" w:hanging="0"/>
        <w:jc w:val="both"/>
        <w:rPr>
          <w:rFonts w:ascii="Cambria" w:hAnsi="Cambria"/>
          <w:b w:val="false"/>
          <w:b w:val="false"/>
          <w:i w:val="false"/>
          <w:i w:val="false"/>
          <w:color w:val="000000"/>
          <w:sz w:val="20"/>
          <w:lang w:val="en-US"/>
        </w:rPr>
      </w:pPr>
      <w:r>
        <w:rPr>
          <w:rFonts w:ascii="Cambria" w:hAnsi="Cambria"/>
          <w:b w:val="false"/>
          <w:i w:val="false"/>
          <w:color w:val="000000"/>
          <w:sz w:val="20"/>
          <w:lang w:val="en-US"/>
        </w:rPr>
      </w:r>
    </w:p>
    <w:p>
      <w:pPr>
        <w:pStyle w:val="Normal"/>
        <w:tabs>
          <w:tab w:val="clear" w:pos="720"/>
          <w:tab w:val="left" w:pos="567" w:leader="none"/>
          <w:tab w:val="left" w:pos="851" w:leader="none"/>
        </w:tabs>
        <w:spacing w:lineRule="auto" w:line="240"/>
        <w:rPr>
          <w:lang w:val="ru-RU"/>
        </w:rPr>
      </w:pPr>
      <w:r>
        <w:rPr>
          <w:rFonts w:ascii="Cambria" w:hAnsi="Cambria"/>
          <w:b/>
          <w:i/>
          <w:color w:val="000000"/>
          <w:sz w:val="20"/>
          <w:lang w:val="ru-RU"/>
        </w:rPr>
        <w:t xml:space="preserve">МСФО (IFRS) 16 </w:t>
      </w:r>
      <w:r>
        <w:rPr>
          <w:rFonts w:ascii="Cambria" w:hAnsi="Cambria"/>
          <w:b/>
          <w:i/>
          <w:color w:val="000000"/>
          <w:sz w:val="20"/>
          <w:lang w:val="en-US"/>
        </w:rPr>
        <w:t>«</w:t>
      </w:r>
      <w:r>
        <w:rPr>
          <w:rFonts w:ascii="Cambria" w:hAnsi="Cambria"/>
          <w:b/>
          <w:i/>
          <w:color w:val="000000"/>
          <w:sz w:val="20"/>
          <w:lang w:val="ru-RU"/>
        </w:rPr>
        <w:t>Аренда</w:t>
      </w:r>
      <w:r>
        <w:rPr>
          <w:rFonts w:ascii="Cambria" w:hAnsi="Cambria"/>
          <w:b/>
          <w:i/>
          <w:color w:val="000000"/>
          <w:sz w:val="20"/>
          <w:lang w:val="en-US"/>
        </w:rPr>
        <w:t>»</w:t>
      </w:r>
    </w:p>
    <w:p>
      <w:pPr>
        <w:pStyle w:val="Normal"/>
        <w:spacing w:lineRule="auto" w:line="240"/>
        <w:jc w:val="both"/>
        <w:rPr>
          <w:rFonts w:ascii="Trebuchet MS" w:hAnsi="Trebuchet MS"/>
          <w:b/>
          <w:b/>
          <w:i w:val="false"/>
          <w:i w:val="false"/>
          <w:color w:val="000000"/>
          <w:sz w:val="20"/>
          <w:lang w:val="en-US"/>
        </w:rPr>
      </w:pPr>
      <w:r>
        <w:rPr>
          <w:rFonts w:ascii="Trebuchet MS" w:hAnsi="Trebuchet MS"/>
          <w:b/>
          <w:i w:val="false"/>
          <w:color w:val="000000"/>
          <w:sz w:val="20"/>
          <w:lang w:val="en-US"/>
        </w:rPr>
      </w:r>
    </w:p>
    <w:p>
      <w:pPr>
        <w:pStyle w:val="Normal"/>
        <w:spacing w:lineRule="auto" w:line="240" w:before="120" w:after="0"/>
        <w:ind w:right="5" w:hanging="0"/>
        <w:jc w:val="both"/>
        <w:rPr>
          <w:lang w:val="ru-RU"/>
        </w:rPr>
      </w:pPr>
      <w:r>
        <w:rPr>
          <w:rFonts w:ascii="Cambria" w:hAnsi="Cambria"/>
          <w:b w:val="false"/>
          <w:i w:val="false"/>
          <w:color w:val="000000"/>
          <w:sz w:val="20"/>
          <w:lang w:val="ru-RU"/>
        </w:rPr>
        <w:t>МСФО (IFRS) 16 вводит единую модель учета арендаторами договоров аренды, предполагающую их отражение на балансе арендатора. Согласно этой модели арендатор должен признавать актив в форме права пользования, представляющий собой право использовать базовый актив, и обязательство по аренде, представляющее собой обязанность осуществлять арендные платежи. Предусмотрены необязательные упрощения в отношении краткосрочной аренды и аренды объектов с низкой стоимостью. Для арендодателей правила учета в целом сохраняются – они</w:t>
      </w:r>
      <w:r>
        <w:rPr>
          <w:rFonts w:ascii="Arial CYR" w:hAnsi="Arial CYR"/>
          <w:b w:val="false"/>
          <w:i w:val="false"/>
          <w:color w:val="000000"/>
          <w:sz w:val="20"/>
          <w:lang w:val="ru-RU"/>
        </w:rPr>
        <w:t xml:space="preserve"> </w:t>
      </w:r>
      <w:r>
        <w:rPr>
          <w:rFonts w:ascii="Cambria" w:hAnsi="Cambria"/>
          <w:b w:val="false"/>
          <w:i w:val="false"/>
          <w:color w:val="000000"/>
          <w:sz w:val="20"/>
          <w:lang w:val="ru-RU"/>
        </w:rPr>
        <w:t>продолжат классифицировать аренду на финансовую и операционную, в связи с чем существенного влияния на отчетность Компании не окажут.</w:t>
      </w:r>
    </w:p>
    <w:p>
      <w:pPr>
        <w:pStyle w:val="Normal"/>
        <w:spacing w:lineRule="auto" w:line="240" w:before="120" w:after="0"/>
        <w:ind w:right="5" w:hanging="0"/>
        <w:jc w:val="both"/>
        <w:rPr>
          <w:lang w:val="en-US"/>
        </w:rPr>
      </w:pPr>
      <w:r>
        <w:rPr>
          <w:rFonts w:ascii="Cambria" w:hAnsi="Cambria"/>
          <w:b w:val="false"/>
          <w:i w:val="false"/>
          <w:color w:val="000000"/>
          <w:sz w:val="20"/>
          <w:lang w:val="en-US"/>
        </w:rPr>
        <w:t xml:space="preserve">- </w:t>
      </w:r>
      <w:r>
        <w:rPr>
          <w:rFonts w:ascii="Cambria" w:hAnsi="Cambria"/>
          <w:b w:val="false"/>
          <w:i w:val="false"/>
          <w:color w:val="000000"/>
          <w:sz w:val="20"/>
          <w:lang w:val="ru-RU"/>
        </w:rPr>
        <w:t>Разъяснение КРМФО (IFRIC) 23 Неопределенность</w:t>
      </w:r>
      <w:r>
        <w:rPr>
          <w:rFonts w:ascii="Cambria" w:hAnsi="Cambria"/>
          <w:b w:val="false"/>
          <w:i w:val="false"/>
          <w:color w:val="000000"/>
          <w:sz w:val="20"/>
          <w:lang w:val="en-US"/>
        </w:rPr>
        <w:t> </w:t>
      </w:r>
      <w:r>
        <w:rPr>
          <w:rFonts w:ascii="Cambria" w:hAnsi="Cambria"/>
          <w:b w:val="false"/>
          <w:i w:val="false"/>
          <w:color w:val="000000"/>
          <w:sz w:val="20"/>
          <w:lang w:val="ru-RU"/>
        </w:rPr>
        <w:t>в</w:t>
      </w:r>
      <w:r>
        <w:rPr>
          <w:rFonts w:ascii="Cambria" w:hAnsi="Cambria"/>
          <w:b w:val="false"/>
          <w:i w:val="false"/>
          <w:color w:val="000000"/>
          <w:sz w:val="20"/>
          <w:lang w:val="en-US"/>
        </w:rPr>
        <w:t> </w:t>
      </w:r>
      <w:r>
        <w:rPr>
          <w:rFonts w:ascii="Cambria" w:hAnsi="Cambria"/>
          <w:b w:val="false"/>
          <w:i w:val="false"/>
          <w:color w:val="000000"/>
          <w:sz w:val="20"/>
          <w:lang w:val="ru-RU"/>
        </w:rPr>
        <w:t>отношении правил исчисления налога</w:t>
      </w:r>
      <w:r>
        <w:rPr>
          <w:rFonts w:ascii="Cambria" w:hAnsi="Cambria"/>
          <w:b w:val="false"/>
          <w:i w:val="false"/>
          <w:color w:val="000000"/>
          <w:sz w:val="20"/>
          <w:lang w:val="en-US"/>
        </w:rPr>
        <w:t> </w:t>
      </w:r>
      <w:r>
        <w:rPr>
          <w:rFonts w:ascii="Cambria" w:hAnsi="Cambria"/>
          <w:b w:val="false"/>
          <w:i w:val="false"/>
          <w:color w:val="000000"/>
          <w:sz w:val="20"/>
          <w:lang w:val="ru-RU"/>
        </w:rPr>
        <w:t>на</w:t>
      </w:r>
      <w:r>
        <w:rPr>
          <w:rFonts w:ascii="Cambria" w:hAnsi="Cambria"/>
          <w:b w:val="false"/>
          <w:i w:val="false"/>
          <w:color w:val="000000"/>
          <w:sz w:val="20"/>
          <w:lang w:val="en-US"/>
        </w:rPr>
        <w:t> </w:t>
      </w:r>
      <w:r>
        <w:rPr>
          <w:rFonts w:ascii="Cambria" w:hAnsi="Cambria"/>
          <w:b w:val="false"/>
          <w:i w:val="false"/>
          <w:color w:val="000000"/>
          <w:sz w:val="20"/>
          <w:lang w:val="ru-RU"/>
        </w:rPr>
        <w:t>прибыль</w:t>
      </w:r>
    </w:p>
    <w:p>
      <w:pPr>
        <w:pStyle w:val="Normal"/>
        <w:spacing w:lineRule="auto" w:line="240" w:before="120" w:after="0"/>
        <w:ind w:right="5" w:hanging="0"/>
        <w:jc w:val="both"/>
        <w:rPr>
          <w:lang w:val="en-US"/>
        </w:rPr>
      </w:pPr>
      <w:r>
        <w:rPr>
          <w:rFonts w:ascii="Cambria" w:hAnsi="Cambria"/>
          <w:b w:val="false"/>
          <w:i w:val="false"/>
          <w:color w:val="000000"/>
          <w:sz w:val="20"/>
          <w:lang w:val="ru-RU"/>
        </w:rPr>
        <w:t>КРМФО (IFRIC) 23 разъясняет, как признавать и оценивать текущий и отложенные налоговые активы и обязательства, когда существует неопределенность налоговых трактовок в отношении налога на прибыль.</w:t>
      </w:r>
    </w:p>
    <w:p>
      <w:pPr>
        <w:pStyle w:val="Normal"/>
        <w:spacing w:lineRule="auto" w:line="240" w:before="120" w:after="0"/>
        <w:ind w:right="5" w:hanging="0"/>
        <w:jc w:val="both"/>
        <w:rPr>
          <w:rFonts w:ascii="Cambria" w:hAnsi="Cambria"/>
          <w:b w:val="false"/>
          <w:b w:val="false"/>
          <w:i w:val="false"/>
          <w:i w:val="false"/>
          <w:color w:val="000000"/>
          <w:sz w:val="20"/>
          <w:lang w:val="en-US"/>
        </w:rPr>
      </w:pPr>
      <w:r>
        <w:rPr>
          <w:rFonts w:ascii="Cambria" w:hAnsi="Cambria"/>
          <w:b w:val="false"/>
          <w:i w:val="false"/>
          <w:color w:val="000000"/>
          <w:sz w:val="20"/>
          <w:lang w:val="en-US"/>
        </w:rPr>
      </w:r>
    </w:p>
    <w:p>
      <w:pPr>
        <w:pStyle w:val="Normal"/>
        <w:spacing w:lineRule="auto" w:line="240" w:before="120" w:after="0"/>
        <w:ind w:right="5" w:hanging="0"/>
        <w:jc w:val="both"/>
        <w:rPr>
          <w:lang w:val="ru-RU"/>
        </w:rPr>
      </w:pPr>
      <w:r>
        <w:rPr>
          <w:rFonts w:ascii="Cambria" w:hAnsi="Cambria"/>
          <w:b w:val="false"/>
          <w:i/>
          <w:color w:val="000000"/>
          <w:sz w:val="20"/>
          <w:lang w:val="ru-RU"/>
        </w:rPr>
        <w:t>Прочие</w:t>
      </w:r>
    </w:p>
    <w:p>
      <w:pPr>
        <w:pStyle w:val="Normal"/>
        <w:spacing w:lineRule="auto" w:line="240" w:before="120" w:after="0"/>
        <w:ind w:right="5" w:hanging="0"/>
        <w:jc w:val="both"/>
        <w:rPr>
          <w:lang w:val="ru-RU"/>
        </w:rPr>
      </w:pPr>
      <w:r>
        <w:rPr>
          <w:rFonts w:ascii="Cambria" w:hAnsi="Cambria"/>
          <w:b w:val="false"/>
          <w:i w:val="false"/>
          <w:color w:val="000000"/>
          <w:sz w:val="20"/>
          <w:lang w:val="ru-RU"/>
        </w:rPr>
        <w:t xml:space="preserve">Ниже приведен перечень прочих новых стандартов и поправок к стандартам, которые были выпущены на момент составления данной отчетности, но окажут влияние на отчетность Компании лишь в будущих периодах. Компания не ожидает, что эти стандарты окажут существенное влияние. </w:t>
      </w:r>
    </w:p>
    <w:p>
      <w:pPr>
        <w:pStyle w:val="Normal"/>
        <w:spacing w:lineRule="auto" w:line="240" w:before="120" w:after="0"/>
        <w:ind w:right="5" w:hanging="0"/>
        <w:jc w:val="both"/>
        <w:rPr>
          <w:lang w:val="ru-RU"/>
        </w:rPr>
      </w:pPr>
      <w:r>
        <w:rPr>
          <w:rFonts w:ascii="Cambria" w:hAnsi="Cambria"/>
          <w:b w:val="false"/>
          <w:i w:val="false"/>
          <w:color w:val="000000"/>
          <w:sz w:val="20"/>
          <w:lang w:val="ru-RU"/>
        </w:rPr>
        <w:t xml:space="preserve">Поправка к МСФО (IFRS) 9 </w:t>
      </w:r>
      <w:r>
        <w:rPr>
          <w:rFonts w:ascii="Cambria" w:hAnsi="Cambria"/>
          <w:b w:val="false"/>
          <w:i w:val="false"/>
          <w:color w:val="000000"/>
          <w:sz w:val="20"/>
          <w:lang w:val="en-US"/>
        </w:rPr>
        <w:t>«</w:t>
      </w:r>
      <w:r>
        <w:rPr>
          <w:rFonts w:ascii="Cambria" w:hAnsi="Cambria"/>
          <w:b w:val="false"/>
          <w:i w:val="false"/>
          <w:color w:val="000000"/>
          <w:sz w:val="20"/>
          <w:lang w:val="ru-RU"/>
        </w:rPr>
        <w:t>Финансовые инстурменты</w:t>
      </w:r>
      <w:r>
        <w:rPr>
          <w:rFonts w:ascii="Cambria" w:hAnsi="Cambria"/>
          <w:b w:val="false"/>
          <w:i w:val="false"/>
          <w:color w:val="000000"/>
          <w:sz w:val="20"/>
          <w:lang w:val="en-US"/>
        </w:rPr>
        <w:t xml:space="preserve">» - </w:t>
      </w:r>
      <w:r>
        <w:rPr>
          <w:rFonts w:ascii="Cambria" w:hAnsi="Cambria"/>
          <w:b w:val="false"/>
          <w:i w:val="false"/>
          <w:color w:val="000000"/>
          <w:sz w:val="20"/>
          <w:lang w:val="ru-RU"/>
        </w:rPr>
        <w:t>Условия о досрочном погашении с отрицательным возмещением (вступает в силу с 1 января 2019 года);</w:t>
      </w:r>
    </w:p>
    <w:p>
      <w:pPr>
        <w:pStyle w:val="Normal"/>
        <w:spacing w:lineRule="auto" w:line="240" w:before="120" w:after="0"/>
        <w:ind w:right="5" w:hanging="0"/>
        <w:jc w:val="both"/>
        <w:rPr>
          <w:lang w:val="ru-RU"/>
        </w:rPr>
      </w:pPr>
      <w:r>
        <w:rPr>
          <w:rFonts w:ascii="Cambria" w:hAnsi="Cambria"/>
          <w:b w:val="false"/>
          <w:i w:val="false"/>
          <w:color w:val="000000"/>
          <w:sz w:val="20"/>
          <w:lang w:val="ru-RU"/>
        </w:rPr>
        <w:t xml:space="preserve">Поправка к МСФО (IAS) 28 </w:t>
      </w:r>
      <w:r>
        <w:rPr>
          <w:rFonts w:ascii="Cambria" w:hAnsi="Cambria"/>
          <w:b w:val="false"/>
          <w:i w:val="false"/>
          <w:color w:val="000000"/>
          <w:sz w:val="20"/>
          <w:lang w:val="en-US"/>
        </w:rPr>
        <w:t>«</w:t>
      </w:r>
      <w:r>
        <w:rPr>
          <w:rFonts w:ascii="Cambria" w:hAnsi="Cambria"/>
          <w:b w:val="false"/>
          <w:i w:val="false"/>
          <w:color w:val="000000"/>
          <w:sz w:val="20"/>
          <w:lang w:val="ru-RU"/>
        </w:rPr>
        <w:t>Инвестиции в ассоциированные организации и совместные предприятия</w:t>
      </w:r>
      <w:r>
        <w:rPr>
          <w:rFonts w:ascii="Cambria" w:hAnsi="Cambria"/>
          <w:b w:val="false"/>
          <w:i w:val="false"/>
          <w:color w:val="000000"/>
          <w:sz w:val="20"/>
          <w:lang w:val="en-US"/>
        </w:rPr>
        <w:t xml:space="preserve">» - </w:t>
      </w:r>
      <w:r>
        <w:rPr>
          <w:rFonts w:ascii="Cambria" w:hAnsi="Cambria"/>
          <w:b w:val="false"/>
          <w:i w:val="false"/>
          <w:color w:val="000000"/>
          <w:sz w:val="20"/>
          <w:lang w:val="ru-RU"/>
        </w:rPr>
        <w:t xml:space="preserve">Долгосрочные вложения в ассоциированные компании и совместные предприятия (вступает в силу с 1 января 2019 года) </w:t>
      </w:r>
    </w:p>
    <w:p>
      <w:pPr>
        <w:pStyle w:val="Normal"/>
        <w:spacing w:lineRule="auto" w:line="240" w:before="120" w:after="0"/>
        <w:ind w:right="5" w:hanging="0"/>
        <w:jc w:val="both"/>
        <w:rPr>
          <w:lang w:val="ru-RU"/>
        </w:rPr>
      </w:pPr>
      <w:r>
        <w:rPr>
          <w:rFonts w:ascii="Cambria" w:hAnsi="Cambria"/>
          <w:b w:val="false"/>
          <w:i w:val="false"/>
          <w:color w:val="000000"/>
          <w:sz w:val="20"/>
          <w:lang w:val="ru-RU"/>
        </w:rPr>
        <w:t xml:space="preserve">МСФО (IFRS) 17 </w:t>
      </w:r>
      <w:r>
        <w:rPr>
          <w:rFonts w:ascii="Cambria" w:hAnsi="Cambria"/>
          <w:b w:val="false"/>
          <w:i w:val="false"/>
          <w:color w:val="000000"/>
          <w:sz w:val="20"/>
          <w:lang w:val="en-US"/>
        </w:rPr>
        <w:t>«</w:t>
      </w:r>
      <w:r>
        <w:rPr>
          <w:rFonts w:ascii="Cambria" w:hAnsi="Cambria"/>
          <w:b w:val="false"/>
          <w:i w:val="false"/>
          <w:color w:val="000000"/>
          <w:sz w:val="20"/>
          <w:lang w:val="ru-RU"/>
        </w:rPr>
        <w:t>Договоры страхования</w:t>
      </w:r>
      <w:r>
        <w:rPr>
          <w:rFonts w:ascii="Cambria" w:hAnsi="Cambria"/>
          <w:b w:val="false"/>
          <w:i w:val="false"/>
          <w:color w:val="000000"/>
          <w:sz w:val="20"/>
          <w:lang w:val="en-US"/>
        </w:rPr>
        <w:t>» (</w:t>
      </w:r>
      <w:r>
        <w:rPr>
          <w:rFonts w:ascii="Cambria" w:hAnsi="Cambria"/>
          <w:b w:val="false"/>
          <w:i w:val="false"/>
          <w:color w:val="000000"/>
          <w:sz w:val="20"/>
          <w:lang w:val="ru-RU"/>
        </w:rPr>
        <w:t>вступает в силу с 1 января 2021 года).</w:t>
      </w:r>
    </w:p>
    <w:p>
      <w:pPr>
        <w:pStyle w:val="Normal"/>
        <w:keepLines/>
        <w:spacing w:lineRule="auto" w:line="240" w:before="120" w:after="120"/>
        <w:ind w:right="136" w:hanging="0"/>
        <w:rPr>
          <w:rFonts w:ascii="Cambria" w:hAnsi="Cambria"/>
          <w:b/>
          <w:b/>
          <w:i w:val="false"/>
          <w:i w:val="false"/>
          <w:color w:val="000000"/>
          <w:sz w:val="24"/>
          <w:lang w:val="en-US"/>
        </w:rPr>
      </w:pPr>
      <w:r>
        <w:rPr>
          <w:rFonts w:ascii="Cambria" w:hAnsi="Cambria"/>
          <w:b/>
          <w:i w:val="false"/>
          <w:color w:val="000000"/>
          <w:sz w:val="24"/>
          <w:lang w:val="en-US"/>
        </w:rPr>
      </w:r>
    </w:p>
    <w:p>
      <w:pPr>
        <w:pStyle w:val="ListParagraph"/>
        <w:keepLines/>
        <w:numPr>
          <w:ilvl w:val="0"/>
          <w:numId w:val="6"/>
        </w:numPr>
        <w:spacing w:before="120" w:after="120"/>
        <w:ind w:left="720" w:right="136" w:hanging="360"/>
        <w:contextualSpacing/>
        <w:outlineLvl w:val="0"/>
        <w:rPr>
          <w:rFonts w:ascii="Cambria" w:hAnsi="Cambria" w:eastAsia="Times New Roman" w:cs="Arial"/>
          <w:b/>
          <w:b/>
          <w:bCs/>
          <w:kern w:val="2"/>
          <w:szCs w:val="20"/>
        </w:rPr>
      </w:pPr>
      <w:r>
        <w:rPr>
          <w:rFonts w:eastAsia="Times New Roman" w:cs="Arial" w:ascii="Cambria" w:hAnsi="Cambria"/>
          <w:b/>
          <w:bCs/>
          <w:kern w:val="2"/>
          <w:szCs w:val="20"/>
        </w:rPr>
        <w:t>Основные средства</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На дату первого применения 01.01.2017 основные средства и инвестиционное имущество  были признаны по справедливой стоимости.</w:t>
      </w:r>
    </w:p>
    <w:p>
      <w:pPr>
        <w:pStyle w:val="ABCparagrahinNotes"/>
        <w:spacing w:before="120" w:after="0"/>
        <w:rPr>
          <w:rFonts w:cs="Arial"/>
          <w:lang w:val="ru-RU"/>
        </w:rPr>
      </w:pPr>
      <w:r>
        <w:rPr>
          <w:rFonts w:ascii="Cambria" w:hAnsi="Cambria"/>
          <w:lang w:val="ru-RU"/>
        </w:rPr>
        <w:t xml:space="preserve">Оценка стоимости проводилась </w:t>
      </w:r>
      <w:r>
        <w:rPr>
          <w:rFonts w:cs="Arial"/>
          <w:lang w:val="ru-RU"/>
        </w:rPr>
        <w:t>по состоянию на 30 июня 2018 года независимым оценщиком ООО «МАЛТОН», имеющим опыт проведения оценки аналогичных объектов, расположенных на той же территории. В основу оценки была положена рыночная стоимость, определенная с использованием затратного метода.</w:t>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r>
    </w:p>
    <w:tbl>
      <w:tblPr>
        <w:tblW w:w="10440" w:type="dxa"/>
        <w:jc w:val="left"/>
        <w:tblInd w:w="-594" w:type="dxa"/>
        <w:tblBorders/>
        <w:tblCellMar>
          <w:top w:w="0" w:type="dxa"/>
          <w:left w:w="108" w:type="dxa"/>
          <w:bottom w:w="0" w:type="dxa"/>
          <w:right w:w="108" w:type="dxa"/>
        </w:tblCellMar>
        <w:tblLook w:firstRow="1" w:noVBand="1" w:lastRow="0" w:firstColumn="1" w:lastColumn="0" w:noHBand="0" w:val="04a0"/>
      </w:tblPr>
      <w:tblGrid>
        <w:gridCol w:w="1772"/>
        <w:gridCol w:w="1232"/>
        <w:gridCol w:w="1353"/>
        <w:gridCol w:w="1125"/>
        <w:gridCol w:w="1315"/>
        <w:gridCol w:w="1029"/>
        <w:gridCol w:w="1345"/>
        <w:gridCol w:w="1267"/>
      </w:tblGrid>
      <w:tr>
        <w:trPr>
          <w:trHeight w:val="720" w:hRule="atLeast"/>
        </w:trPr>
        <w:tc>
          <w:tcPr>
            <w:tcW w:w="1772"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232"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Здания</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и</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сооружения</w:t>
            </w:r>
          </w:p>
        </w:tc>
        <w:tc>
          <w:tcPr>
            <w:tcW w:w="1353"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Транспортные</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средства</w:t>
            </w:r>
          </w:p>
        </w:tc>
        <w:tc>
          <w:tcPr>
            <w:tcW w:w="1125"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Мебель</w:t>
            </w:r>
          </w:p>
        </w:tc>
        <w:tc>
          <w:tcPr>
            <w:tcW w:w="1315"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Машины</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и</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оборудование</w:t>
            </w:r>
          </w:p>
        </w:tc>
        <w:tc>
          <w:tcPr>
            <w:tcW w:w="1029"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Прочие</w:t>
            </w:r>
          </w:p>
        </w:tc>
        <w:tc>
          <w:tcPr>
            <w:tcW w:w="1345"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Вложения</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во</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внеоборотные</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активы</w:t>
            </w:r>
          </w:p>
        </w:tc>
        <w:tc>
          <w:tcPr>
            <w:tcW w:w="1267"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Итого</w:t>
            </w:r>
          </w:p>
        </w:tc>
      </w:tr>
      <w:tr>
        <w:trPr>
          <w:trHeight w:val="300" w:hRule="atLeast"/>
        </w:trPr>
        <w:tc>
          <w:tcPr>
            <w:tcW w:w="1772" w:type="dxa"/>
            <w:tcBorders/>
            <w:shd w:fill="auto" w:val="clear"/>
            <w:vAlign w:val="center"/>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Стоимость</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приобретения</w:t>
            </w:r>
          </w:p>
        </w:tc>
        <w:tc>
          <w:tcPr>
            <w:tcW w:w="1232" w:type="dxa"/>
            <w:tcBorders/>
            <w:shd w:fill="auto" w:val="clear"/>
            <w:vAlign w:val="center"/>
          </w:tcPr>
          <w:p>
            <w:pPr>
              <w:pStyle w:val="Normal"/>
              <w:rPr>
                <w:rFonts w:ascii="Tempus Sans ITC" w:hAnsi="Tempus Sans ITC" w:eastAsia="Times New Roman" w:cs="Calibri"/>
                <w:b/>
                <w:b/>
                <w:bCs/>
                <w:color w:val="000000"/>
                <w:sz w:val="16"/>
                <w:szCs w:val="16"/>
                <w:lang w:bidi="ar-SA"/>
              </w:rPr>
            </w:pPr>
            <w:r>
              <w:rPr>
                <w:rFonts w:eastAsia="Times New Roman" w:cs="Calibri" w:ascii="Tempus Sans ITC" w:hAnsi="Tempus Sans ITC"/>
                <w:b/>
                <w:bCs/>
                <w:color w:val="000000"/>
                <w:sz w:val="16"/>
                <w:szCs w:val="16"/>
                <w:lang w:bidi="ar-SA"/>
              </w:rPr>
            </w:r>
          </w:p>
        </w:tc>
        <w:tc>
          <w:tcPr>
            <w:tcW w:w="1353"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125"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315"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029"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345"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267"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00" w:hRule="atLeas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bCs/>
                <w:color w:val="000000"/>
                <w:sz w:val="16"/>
                <w:szCs w:val="16"/>
              </w:rPr>
              <w:t>На 1 января 2017 года</w:t>
            </w:r>
          </w:p>
        </w:tc>
        <w:tc>
          <w:tcPr>
            <w:tcW w:w="123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2 744 213</w:t>
            </w:r>
          </w:p>
        </w:tc>
        <w:tc>
          <w:tcPr>
            <w:tcW w:w="135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17 760</w:t>
            </w:r>
          </w:p>
        </w:tc>
        <w:tc>
          <w:tcPr>
            <w:tcW w:w="112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36 449</w:t>
            </w:r>
          </w:p>
        </w:tc>
        <w:tc>
          <w:tcPr>
            <w:tcW w:w="131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987 921</w:t>
            </w:r>
          </w:p>
        </w:tc>
        <w:tc>
          <w:tcPr>
            <w:tcW w:w="1029"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59 400</w:t>
            </w:r>
          </w:p>
        </w:tc>
        <w:tc>
          <w:tcPr>
            <w:tcW w:w="134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45 586</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3 891 329</w:t>
            </w:r>
          </w:p>
        </w:tc>
      </w:tr>
      <w:tr>
        <w:trPr>
          <w:trHeight w:val="300"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cs="Calibri" w:ascii="Trebuchet MS" w:hAnsi="Trebuchet MS"/>
                <w:color w:val="000000"/>
                <w:sz w:val="16"/>
                <w:szCs w:val="16"/>
              </w:rPr>
              <w:t>Поступления</w:t>
            </w:r>
          </w:p>
        </w:tc>
        <w:tc>
          <w:tcPr>
            <w:tcW w:w="1232"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10 564</w:t>
            </w:r>
          </w:p>
        </w:tc>
        <w:tc>
          <w:tcPr>
            <w:tcW w:w="1353"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12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1 683</w:t>
            </w:r>
          </w:p>
        </w:tc>
        <w:tc>
          <w:tcPr>
            <w:tcW w:w="131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53 573</w:t>
            </w:r>
          </w:p>
        </w:tc>
        <w:tc>
          <w:tcPr>
            <w:tcW w:w="1029"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868</w:t>
            </w:r>
          </w:p>
        </w:tc>
        <w:tc>
          <w:tcPr>
            <w:tcW w:w="134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66 689</w:t>
            </w:r>
          </w:p>
        </w:tc>
      </w:tr>
      <w:tr>
        <w:trPr>
          <w:trHeight w:val="300"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cs="Calibri" w:ascii="Trebuchet MS" w:hAnsi="Trebuchet MS"/>
                <w:color w:val="000000"/>
                <w:sz w:val="16"/>
                <w:szCs w:val="16"/>
              </w:rPr>
              <w:t>Выбытия</w:t>
            </w:r>
          </w:p>
        </w:tc>
        <w:tc>
          <w:tcPr>
            <w:tcW w:w="1232"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(2 549)</w:t>
            </w:r>
          </w:p>
        </w:tc>
        <w:tc>
          <w:tcPr>
            <w:tcW w:w="1353"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12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(116)</w:t>
            </w:r>
          </w:p>
        </w:tc>
        <w:tc>
          <w:tcPr>
            <w:tcW w:w="131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(4 347)</w:t>
            </w:r>
          </w:p>
        </w:tc>
        <w:tc>
          <w:tcPr>
            <w:tcW w:w="1029"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(31)</w:t>
            </w:r>
          </w:p>
        </w:tc>
        <w:tc>
          <w:tcPr>
            <w:tcW w:w="134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(7 042)</w:t>
            </w:r>
          </w:p>
        </w:tc>
      </w:tr>
      <w:tr>
        <w:trPr>
          <w:trHeight w:val="435"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cs="Calibri" w:ascii="Trebuchet MS" w:hAnsi="Trebuchet MS"/>
                <w:color w:val="000000"/>
                <w:sz w:val="16"/>
                <w:szCs w:val="16"/>
              </w:rPr>
              <w:t>Списание объектов незавершенного строительства</w:t>
            </w:r>
          </w:p>
        </w:tc>
        <w:tc>
          <w:tcPr>
            <w:tcW w:w="1232"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353"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125"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315"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029"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34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(44 303)</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(44 303)</w:t>
            </w:r>
          </w:p>
        </w:tc>
      </w:tr>
      <w:tr>
        <w:trPr>
          <w:trHeight w:val="315" w:hRule="atLeas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bCs/>
                <w:color w:val="000000"/>
                <w:sz w:val="16"/>
                <w:szCs w:val="16"/>
              </w:rPr>
              <w:t>На 31 декабря 2017 года</w:t>
            </w:r>
          </w:p>
        </w:tc>
        <w:tc>
          <w:tcPr>
            <w:tcW w:w="1232"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2 752 229</w:t>
            </w:r>
          </w:p>
        </w:tc>
        <w:tc>
          <w:tcPr>
            <w:tcW w:w="1353"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17 760</w:t>
            </w:r>
          </w:p>
        </w:tc>
        <w:tc>
          <w:tcPr>
            <w:tcW w:w="112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38 016</w:t>
            </w:r>
          </w:p>
        </w:tc>
        <w:tc>
          <w:tcPr>
            <w:tcW w:w="131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1 037 147</w:t>
            </w:r>
          </w:p>
        </w:tc>
        <w:tc>
          <w:tcPr>
            <w:tcW w:w="102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60 237</w:t>
            </w:r>
          </w:p>
        </w:tc>
        <w:tc>
          <w:tcPr>
            <w:tcW w:w="134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1 283</w:t>
            </w:r>
          </w:p>
        </w:tc>
        <w:tc>
          <w:tcPr>
            <w:tcW w:w="1267"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3 906 672</w:t>
            </w:r>
          </w:p>
        </w:tc>
      </w:tr>
      <w:tr>
        <w:trPr>
          <w:trHeight w:val="315" w:hRule="atLeas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color w:val="000000"/>
                <w:sz w:val="16"/>
                <w:szCs w:val="16"/>
                <w:lang w:bidi="ar-SA"/>
              </w:rPr>
              <w:t>Поступления</w:t>
            </w:r>
          </w:p>
        </w:tc>
        <w:tc>
          <w:tcPr>
            <w:tcW w:w="123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w:t>
            </w:r>
          </w:p>
        </w:tc>
        <w:tc>
          <w:tcPr>
            <w:tcW w:w="135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7 048</w:t>
            </w:r>
          </w:p>
        </w:tc>
        <w:tc>
          <w:tcPr>
            <w:tcW w:w="112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164</w:t>
            </w:r>
          </w:p>
        </w:tc>
        <w:tc>
          <w:tcPr>
            <w:tcW w:w="131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61 868</w:t>
            </w:r>
          </w:p>
        </w:tc>
        <w:tc>
          <w:tcPr>
            <w:tcW w:w="1029"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3 490</w:t>
            </w:r>
          </w:p>
        </w:tc>
        <w:tc>
          <w:tcPr>
            <w:tcW w:w="134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804</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73 375</w:t>
            </w:r>
          </w:p>
        </w:tc>
      </w:tr>
      <w:tr>
        <w:trPr>
          <w:trHeight w:val="300"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t>Выбытия</w:t>
            </w:r>
          </w:p>
        </w:tc>
        <w:tc>
          <w:tcPr>
            <w:tcW w:w="1232"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353"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12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(3 962)</w:t>
            </w:r>
          </w:p>
        </w:tc>
        <w:tc>
          <w:tcPr>
            <w:tcW w:w="131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(4 133)</w:t>
            </w:r>
          </w:p>
        </w:tc>
        <w:tc>
          <w:tcPr>
            <w:tcW w:w="1029"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(1 664)</w:t>
            </w:r>
          </w:p>
        </w:tc>
        <w:tc>
          <w:tcPr>
            <w:tcW w:w="134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(9 758)</w:t>
            </w:r>
          </w:p>
        </w:tc>
      </w:tr>
      <w:tr>
        <w:trPr>
          <w:trHeight w:val="315"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cs="Calibri" w:ascii="Trebuchet MS" w:hAnsi="Trebuchet MS"/>
                <w:b/>
                <w:bCs/>
                <w:color w:val="000000"/>
                <w:sz w:val="16"/>
                <w:szCs w:val="16"/>
              </w:rPr>
              <w:t>На 31 декабря 2018 года</w:t>
            </w:r>
          </w:p>
        </w:tc>
        <w:tc>
          <w:tcPr>
            <w:tcW w:w="1232"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2 752 229</w:t>
            </w:r>
          </w:p>
        </w:tc>
        <w:tc>
          <w:tcPr>
            <w:tcW w:w="1353"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24 808</w:t>
            </w:r>
          </w:p>
        </w:tc>
        <w:tc>
          <w:tcPr>
            <w:tcW w:w="112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34 218</w:t>
            </w:r>
          </w:p>
        </w:tc>
        <w:tc>
          <w:tcPr>
            <w:tcW w:w="131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1 094 883</w:t>
            </w:r>
          </w:p>
        </w:tc>
        <w:tc>
          <w:tcPr>
            <w:tcW w:w="1029"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62 063</w:t>
            </w:r>
          </w:p>
        </w:tc>
        <w:tc>
          <w:tcPr>
            <w:tcW w:w="134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2 087</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3 970 289</w:t>
            </w:r>
          </w:p>
        </w:tc>
      </w:tr>
      <w:tr>
        <w:trPr>
          <w:trHeight w:val="420" w:hRule="exac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r>
          </w:p>
        </w:tc>
        <w:tc>
          <w:tcPr>
            <w:tcW w:w="1232"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53"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12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1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02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4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267"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r>
      <w:tr>
        <w:trPr>
          <w:trHeight w:val="510" w:hRule="atLeast"/>
        </w:trPr>
        <w:tc>
          <w:tcPr>
            <w:tcW w:w="1772" w:type="dxa"/>
            <w:tcBorders/>
            <w:shd w:fill="auto" w:val="clear"/>
            <w:vAlign w:val="center"/>
          </w:tcPr>
          <w:p>
            <w:pPr>
              <w:pStyle w:val="Normal"/>
              <w:rPr>
                <w:rFonts w:ascii="Cambria" w:hAnsi="Cambria" w:eastAsia="Times New Roman" w:cs="Calibri"/>
                <w:b/>
                <w:b/>
                <w:bCs/>
                <w:i/>
                <w:i/>
                <w:iCs/>
                <w:color w:val="000000"/>
                <w:sz w:val="20"/>
                <w:szCs w:val="20"/>
                <w:lang w:bidi="ar-SA"/>
              </w:rPr>
            </w:pPr>
            <w:r>
              <w:rPr>
                <w:rFonts w:eastAsia="Times New Roman" w:cs="Calibri" w:ascii="Cambria" w:hAnsi="Cambria"/>
                <w:b/>
                <w:bCs/>
                <w:i/>
                <w:iCs/>
                <w:color w:val="000000"/>
                <w:sz w:val="20"/>
                <w:szCs w:val="20"/>
                <w:lang w:bidi="ar-SA"/>
              </w:rPr>
              <w:t>Начисленная амортизация и обесценение</w:t>
            </w:r>
          </w:p>
        </w:tc>
        <w:tc>
          <w:tcPr>
            <w:tcW w:w="123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5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12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1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029"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4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r>
      <w:tr>
        <w:trPr>
          <w:trHeight w:val="300" w:hRule="atLeas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t>На 1 января 2017 года</w:t>
            </w:r>
          </w:p>
        </w:tc>
        <w:tc>
          <w:tcPr>
            <w:tcW w:w="123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(121 325)</w:t>
            </w:r>
          </w:p>
        </w:tc>
        <w:tc>
          <w:tcPr>
            <w:tcW w:w="135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(372)</w:t>
            </w:r>
          </w:p>
        </w:tc>
        <w:tc>
          <w:tcPr>
            <w:tcW w:w="112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(116)</w:t>
            </w:r>
          </w:p>
        </w:tc>
        <w:tc>
          <w:tcPr>
            <w:tcW w:w="131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(24 202)</w:t>
            </w:r>
          </w:p>
        </w:tc>
        <w:tc>
          <w:tcPr>
            <w:tcW w:w="1029"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(31)</w:t>
            </w:r>
          </w:p>
        </w:tc>
        <w:tc>
          <w:tcPr>
            <w:tcW w:w="134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(146 045)</w:t>
            </w:r>
          </w:p>
        </w:tc>
      </w:tr>
      <w:tr>
        <w:trPr>
          <w:trHeight w:val="300"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t>Выбытие активов</w:t>
            </w:r>
          </w:p>
        </w:tc>
        <w:tc>
          <w:tcPr>
            <w:tcW w:w="1232"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615</w:t>
            </w:r>
          </w:p>
        </w:tc>
        <w:tc>
          <w:tcPr>
            <w:tcW w:w="1353"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12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116</w:t>
            </w:r>
          </w:p>
        </w:tc>
        <w:tc>
          <w:tcPr>
            <w:tcW w:w="131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6 462</w:t>
            </w:r>
          </w:p>
        </w:tc>
        <w:tc>
          <w:tcPr>
            <w:tcW w:w="1029"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31</w:t>
            </w:r>
          </w:p>
        </w:tc>
        <w:tc>
          <w:tcPr>
            <w:tcW w:w="134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7 224</w:t>
            </w:r>
          </w:p>
        </w:tc>
      </w:tr>
      <w:tr>
        <w:trPr>
          <w:trHeight w:val="315"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t>Амортизационные расходы</w:t>
            </w:r>
          </w:p>
        </w:tc>
        <w:tc>
          <w:tcPr>
            <w:tcW w:w="1232"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(202 373)</w:t>
            </w:r>
          </w:p>
        </w:tc>
        <w:tc>
          <w:tcPr>
            <w:tcW w:w="1353"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(3 369)</w:t>
            </w:r>
          </w:p>
        </w:tc>
        <w:tc>
          <w:tcPr>
            <w:tcW w:w="112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(9 097)</w:t>
            </w:r>
          </w:p>
        </w:tc>
        <w:tc>
          <w:tcPr>
            <w:tcW w:w="131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(129 243)</w:t>
            </w:r>
          </w:p>
        </w:tc>
        <w:tc>
          <w:tcPr>
            <w:tcW w:w="1029"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(17 777)</w:t>
            </w:r>
          </w:p>
        </w:tc>
        <w:tc>
          <w:tcPr>
            <w:tcW w:w="1345"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(361 859)</w:t>
            </w:r>
          </w:p>
        </w:tc>
      </w:tr>
      <w:tr>
        <w:trPr>
          <w:trHeight w:val="315" w:hRule="atLeas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bCs/>
                <w:color w:val="000000"/>
                <w:sz w:val="16"/>
                <w:szCs w:val="16"/>
              </w:rPr>
              <w:t>На 31 декабря 2017 года</w:t>
            </w:r>
          </w:p>
        </w:tc>
        <w:tc>
          <w:tcPr>
            <w:tcW w:w="1232"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(323 083)</w:t>
            </w:r>
          </w:p>
        </w:tc>
        <w:tc>
          <w:tcPr>
            <w:tcW w:w="1353"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(3 741)</w:t>
            </w:r>
          </w:p>
        </w:tc>
        <w:tc>
          <w:tcPr>
            <w:tcW w:w="112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(9 097)</w:t>
            </w:r>
          </w:p>
        </w:tc>
        <w:tc>
          <w:tcPr>
            <w:tcW w:w="131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(146 982)</w:t>
            </w:r>
          </w:p>
        </w:tc>
        <w:tc>
          <w:tcPr>
            <w:tcW w:w="102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(17 777)</w:t>
            </w:r>
          </w:p>
        </w:tc>
        <w:tc>
          <w:tcPr>
            <w:tcW w:w="1345"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267"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(500 680)</w:t>
            </w:r>
          </w:p>
        </w:tc>
      </w:tr>
      <w:tr>
        <w:trPr>
          <w:trHeight w:val="315" w:hRule="atLeas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color w:val="000000"/>
                <w:sz w:val="16"/>
                <w:szCs w:val="16"/>
                <w:lang w:bidi="ar-SA"/>
              </w:rPr>
              <w:t>Выбытие активов</w:t>
            </w:r>
          </w:p>
        </w:tc>
        <w:tc>
          <w:tcPr>
            <w:tcW w:w="123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w:t>
            </w:r>
          </w:p>
        </w:tc>
        <w:tc>
          <w:tcPr>
            <w:tcW w:w="135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676</w:t>
            </w:r>
          </w:p>
        </w:tc>
        <w:tc>
          <w:tcPr>
            <w:tcW w:w="112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2 086</w:t>
            </w:r>
          </w:p>
        </w:tc>
        <w:tc>
          <w:tcPr>
            <w:tcW w:w="131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3 384</w:t>
            </w:r>
          </w:p>
        </w:tc>
        <w:tc>
          <w:tcPr>
            <w:tcW w:w="1029"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2 065</w:t>
            </w:r>
          </w:p>
        </w:tc>
        <w:tc>
          <w:tcPr>
            <w:tcW w:w="134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color w:val="000000"/>
                <w:sz w:val="20"/>
                <w:szCs w:val="20"/>
              </w:rPr>
              <w:t>-</w:t>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8 210</w:t>
            </w:r>
          </w:p>
        </w:tc>
      </w:tr>
      <w:tr>
        <w:trPr>
          <w:trHeight w:val="300"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t>Амортизационные расходы</w:t>
            </w:r>
          </w:p>
        </w:tc>
        <w:tc>
          <w:tcPr>
            <w:tcW w:w="1232"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(204 278)</w:t>
            </w:r>
          </w:p>
        </w:tc>
        <w:tc>
          <w:tcPr>
            <w:tcW w:w="1353"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(4 044)</w:t>
            </w:r>
          </w:p>
        </w:tc>
        <w:tc>
          <w:tcPr>
            <w:tcW w:w="1125"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(9 119)</w:t>
            </w:r>
          </w:p>
        </w:tc>
        <w:tc>
          <w:tcPr>
            <w:tcW w:w="1315"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(127 674)</w:t>
            </w:r>
          </w:p>
        </w:tc>
        <w:tc>
          <w:tcPr>
            <w:tcW w:w="1029"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(19 774)</w:t>
            </w:r>
          </w:p>
        </w:tc>
        <w:tc>
          <w:tcPr>
            <w:tcW w:w="1345"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267"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(364 889)</w:t>
            </w:r>
          </w:p>
        </w:tc>
      </w:tr>
      <w:tr>
        <w:trPr>
          <w:trHeight w:val="315"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cs="Calibri" w:ascii="Trebuchet MS" w:hAnsi="Trebuchet MS"/>
                <w:b/>
                <w:bCs/>
                <w:color w:val="000000"/>
                <w:sz w:val="16"/>
                <w:szCs w:val="16"/>
              </w:rPr>
              <w:t>На 31 декабря 2018 года</w:t>
            </w:r>
          </w:p>
        </w:tc>
        <w:tc>
          <w:tcPr>
            <w:tcW w:w="1232"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(527 361)</w:t>
            </w:r>
          </w:p>
        </w:tc>
        <w:tc>
          <w:tcPr>
            <w:tcW w:w="1353"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(7 109)</w:t>
            </w:r>
          </w:p>
        </w:tc>
        <w:tc>
          <w:tcPr>
            <w:tcW w:w="1125"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(16 130)</w:t>
            </w:r>
          </w:p>
        </w:tc>
        <w:tc>
          <w:tcPr>
            <w:tcW w:w="1315"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(271 752)</w:t>
            </w:r>
          </w:p>
        </w:tc>
        <w:tc>
          <w:tcPr>
            <w:tcW w:w="1029"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(34 257)</w:t>
            </w:r>
          </w:p>
        </w:tc>
        <w:tc>
          <w:tcPr>
            <w:tcW w:w="1345"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b/>
                <w:bCs/>
                <w:color w:val="000000"/>
                <w:sz w:val="20"/>
                <w:szCs w:val="20"/>
              </w:rPr>
              <w:t>-</w:t>
            </w:r>
          </w:p>
        </w:tc>
        <w:tc>
          <w:tcPr>
            <w:tcW w:w="1267"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(857 359)</w:t>
            </w:r>
          </w:p>
        </w:tc>
      </w:tr>
      <w:tr>
        <w:trPr>
          <w:trHeight w:val="405" w:hRule="atLeas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bCs/>
                <w:color w:val="000000"/>
                <w:sz w:val="16"/>
                <w:szCs w:val="16"/>
              </w:rPr>
              <w:t>Остаточная стоимость</w:t>
            </w:r>
          </w:p>
        </w:tc>
        <w:tc>
          <w:tcPr>
            <w:tcW w:w="123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5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125" w:type="dxa"/>
            <w:tcBorders/>
            <w:shd w:fill="auto" w:val="clear"/>
            <w:vAlign w:val="center"/>
          </w:tcPr>
          <w:p>
            <w:pPr>
              <w:pStyle w:val="Normal"/>
              <w:jc w:val="right"/>
              <w:rPr>
                <w:rFonts w:ascii="Cambria" w:hAnsi="Cambria" w:cs="Calibri"/>
                <w:b/>
                <w:b/>
                <w:bCs/>
                <w:color w:val="000000"/>
                <w:sz w:val="20"/>
                <w:szCs w:val="20"/>
              </w:rPr>
            </w:pPr>
            <w:r>
              <w:rPr>
                <w:rFonts w:cs="Calibri" w:ascii="Cambria" w:hAnsi="Cambria"/>
                <w:b/>
                <w:bCs/>
                <w:color w:val="000000"/>
                <w:sz w:val="20"/>
                <w:szCs w:val="20"/>
              </w:rPr>
            </w:r>
          </w:p>
        </w:tc>
        <w:tc>
          <w:tcPr>
            <w:tcW w:w="131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029"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45"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26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r>
      <w:tr>
        <w:trPr>
          <w:trHeight w:val="300" w:hRule="atLeast"/>
        </w:trPr>
        <w:tc>
          <w:tcPr>
            <w:tcW w:w="1772"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color w:val="000000"/>
                <w:sz w:val="16"/>
                <w:szCs w:val="16"/>
              </w:rPr>
              <w:t xml:space="preserve"> </w:t>
            </w:r>
            <w:r>
              <w:rPr>
                <w:rFonts w:cs="Calibri" w:ascii="Trebuchet MS" w:hAnsi="Trebuchet MS"/>
                <w:b/>
                <w:color w:val="000000"/>
                <w:sz w:val="16"/>
                <w:szCs w:val="16"/>
              </w:rPr>
              <w:t>На 1 января 2017 года</w:t>
            </w:r>
          </w:p>
        </w:tc>
        <w:tc>
          <w:tcPr>
            <w:tcW w:w="1232" w:type="dxa"/>
            <w:tcBorders>
              <w:bottom w:val="single" w:sz="4" w:space="0" w:color="000000"/>
              <w:insideH w:val="single" w:sz="4" w:space="0" w:color="000000"/>
            </w:tcBorders>
            <w:shd w:fill="auto" w:val="clear"/>
            <w:vAlign w:val="center"/>
          </w:tcPr>
          <w:p>
            <w:pPr>
              <w:pStyle w:val="Normal"/>
              <w:jc w:val="right"/>
              <w:rPr>
                <w:rFonts w:ascii="Trebuchet MS" w:hAnsi="Trebuchet MS" w:eastAsia="Times New Roman" w:cs="Calibri"/>
                <w:b/>
                <w:b/>
                <w:bCs/>
                <w:color w:val="000000"/>
                <w:sz w:val="16"/>
                <w:szCs w:val="16"/>
                <w:lang w:bidi="ar-SA"/>
              </w:rPr>
            </w:pPr>
            <w:r>
              <w:rPr>
                <w:rFonts w:cs="Calibri" w:ascii="Cambria" w:hAnsi="Cambria"/>
                <w:b/>
                <w:bCs/>
                <w:color w:val="000000"/>
                <w:sz w:val="20"/>
                <w:szCs w:val="20"/>
              </w:rPr>
              <w:t>2 622 888</w:t>
            </w:r>
          </w:p>
        </w:tc>
        <w:tc>
          <w:tcPr>
            <w:tcW w:w="1353" w:type="dxa"/>
            <w:tcBorders>
              <w:bottom w:val="single" w:sz="4" w:space="0" w:color="000000"/>
              <w:insideH w:val="single" w:sz="4" w:space="0" w:color="000000"/>
            </w:tcBorders>
            <w:shd w:fill="auto" w:val="clear"/>
            <w:vAlign w:val="center"/>
          </w:tcPr>
          <w:p>
            <w:pPr>
              <w:pStyle w:val="Normal"/>
              <w:jc w:val="right"/>
              <w:rPr>
                <w:rFonts w:ascii="Times New Roman" w:hAnsi="Times New Roman" w:eastAsia="Times New Roman"/>
                <w:sz w:val="20"/>
                <w:szCs w:val="20"/>
                <w:lang w:bidi="ar-SA"/>
              </w:rPr>
            </w:pPr>
            <w:r>
              <w:rPr>
                <w:rFonts w:cs="Calibri" w:ascii="Cambria" w:hAnsi="Cambria"/>
                <w:b/>
                <w:bCs/>
                <w:color w:val="000000"/>
                <w:sz w:val="20"/>
                <w:szCs w:val="20"/>
              </w:rPr>
              <w:t>17 388</w:t>
            </w:r>
          </w:p>
        </w:tc>
        <w:tc>
          <w:tcPr>
            <w:tcW w:w="1125" w:type="dxa"/>
            <w:tcBorders>
              <w:bottom w:val="single" w:sz="4" w:space="0" w:color="000000"/>
              <w:insideH w:val="single" w:sz="4" w:space="0" w:color="000000"/>
            </w:tcBorders>
            <w:shd w:fill="auto" w:val="clear"/>
            <w:vAlign w:val="center"/>
          </w:tcPr>
          <w:p>
            <w:pPr>
              <w:pStyle w:val="Normal"/>
              <w:jc w:val="right"/>
              <w:rPr>
                <w:rFonts w:ascii="Times New Roman" w:hAnsi="Times New Roman" w:eastAsia="Times New Roman"/>
                <w:sz w:val="20"/>
                <w:szCs w:val="20"/>
                <w:lang w:bidi="ar-SA"/>
              </w:rPr>
            </w:pPr>
            <w:r>
              <w:rPr>
                <w:rFonts w:cs="Calibri" w:ascii="Cambria" w:hAnsi="Cambria"/>
                <w:b/>
                <w:bCs/>
                <w:color w:val="000000"/>
                <w:sz w:val="20"/>
                <w:szCs w:val="20"/>
              </w:rPr>
              <w:t>36 333</w:t>
            </w:r>
          </w:p>
        </w:tc>
        <w:tc>
          <w:tcPr>
            <w:tcW w:w="1315" w:type="dxa"/>
            <w:tcBorders>
              <w:bottom w:val="single" w:sz="4" w:space="0" w:color="000000"/>
              <w:insideH w:val="single" w:sz="4" w:space="0" w:color="000000"/>
            </w:tcBorders>
            <w:shd w:fill="auto" w:val="clear"/>
            <w:vAlign w:val="center"/>
          </w:tcPr>
          <w:p>
            <w:pPr>
              <w:pStyle w:val="Normal"/>
              <w:jc w:val="right"/>
              <w:rPr>
                <w:rFonts w:ascii="Times New Roman" w:hAnsi="Times New Roman" w:eastAsia="Times New Roman"/>
                <w:sz w:val="20"/>
                <w:szCs w:val="20"/>
                <w:lang w:bidi="ar-SA"/>
              </w:rPr>
            </w:pPr>
            <w:r>
              <w:rPr>
                <w:rFonts w:cs="Calibri" w:ascii="Cambria" w:hAnsi="Cambria"/>
                <w:b/>
                <w:bCs/>
                <w:color w:val="000000"/>
                <w:sz w:val="20"/>
                <w:szCs w:val="20"/>
              </w:rPr>
              <w:t>963 719</w:t>
            </w:r>
          </w:p>
        </w:tc>
        <w:tc>
          <w:tcPr>
            <w:tcW w:w="1029" w:type="dxa"/>
            <w:tcBorders>
              <w:bottom w:val="single" w:sz="4" w:space="0" w:color="000000"/>
              <w:insideH w:val="single" w:sz="4" w:space="0" w:color="000000"/>
            </w:tcBorders>
            <w:shd w:fill="auto" w:val="clear"/>
            <w:vAlign w:val="center"/>
          </w:tcPr>
          <w:p>
            <w:pPr>
              <w:pStyle w:val="Normal"/>
              <w:jc w:val="right"/>
              <w:rPr>
                <w:rFonts w:ascii="Times New Roman" w:hAnsi="Times New Roman" w:eastAsia="Times New Roman"/>
                <w:sz w:val="20"/>
                <w:szCs w:val="20"/>
                <w:lang w:bidi="ar-SA"/>
              </w:rPr>
            </w:pPr>
            <w:r>
              <w:rPr>
                <w:rFonts w:cs="Calibri" w:ascii="Cambria" w:hAnsi="Cambria"/>
                <w:b/>
                <w:bCs/>
                <w:color w:val="000000"/>
                <w:sz w:val="20"/>
                <w:szCs w:val="20"/>
              </w:rPr>
              <w:t>59 369</w:t>
            </w:r>
          </w:p>
        </w:tc>
        <w:tc>
          <w:tcPr>
            <w:tcW w:w="1345" w:type="dxa"/>
            <w:tcBorders>
              <w:bottom w:val="single" w:sz="4" w:space="0" w:color="000000"/>
              <w:insideH w:val="single" w:sz="4" w:space="0" w:color="000000"/>
            </w:tcBorders>
            <w:shd w:fill="auto" w:val="clear"/>
            <w:vAlign w:val="center"/>
          </w:tcPr>
          <w:p>
            <w:pPr>
              <w:pStyle w:val="Normal"/>
              <w:jc w:val="right"/>
              <w:rPr>
                <w:rFonts w:ascii="Times New Roman" w:hAnsi="Times New Roman" w:eastAsia="Times New Roman"/>
                <w:sz w:val="20"/>
                <w:szCs w:val="20"/>
                <w:lang w:bidi="ar-SA"/>
              </w:rPr>
            </w:pPr>
            <w:r>
              <w:rPr>
                <w:rFonts w:cs="Calibri" w:ascii="Cambria" w:hAnsi="Cambria"/>
                <w:b/>
                <w:bCs/>
                <w:color w:val="000000"/>
                <w:sz w:val="20"/>
                <w:szCs w:val="20"/>
              </w:rPr>
              <w:t>45 586</w:t>
            </w:r>
          </w:p>
        </w:tc>
        <w:tc>
          <w:tcPr>
            <w:tcW w:w="1267" w:type="dxa"/>
            <w:tcBorders>
              <w:bottom w:val="single" w:sz="4" w:space="0" w:color="000000"/>
              <w:insideH w:val="single" w:sz="4" w:space="0" w:color="000000"/>
            </w:tcBorders>
            <w:shd w:fill="auto" w:val="clear"/>
            <w:vAlign w:val="center"/>
          </w:tcPr>
          <w:p>
            <w:pPr>
              <w:pStyle w:val="Normal"/>
              <w:jc w:val="right"/>
              <w:rPr>
                <w:rFonts w:ascii="Times New Roman" w:hAnsi="Times New Roman" w:eastAsia="Times New Roman"/>
                <w:sz w:val="20"/>
                <w:szCs w:val="20"/>
                <w:lang w:bidi="ar-SA"/>
              </w:rPr>
            </w:pPr>
            <w:r>
              <w:rPr>
                <w:rFonts w:cs="Calibri" w:ascii="Cambria" w:hAnsi="Cambria"/>
                <w:b/>
                <w:bCs/>
                <w:color w:val="000000"/>
                <w:sz w:val="20"/>
                <w:szCs w:val="20"/>
              </w:rPr>
              <w:t>3 745 284</w:t>
            </w:r>
          </w:p>
        </w:tc>
      </w:tr>
      <w:tr>
        <w:trPr>
          <w:trHeight w:val="315" w:hRule="atLeast"/>
        </w:trPr>
        <w:tc>
          <w:tcPr>
            <w:tcW w:w="1772" w:type="dxa"/>
            <w:tcBorders/>
            <w:shd w:fill="auto" w:val="clear"/>
            <w:vAlign w:val="center"/>
          </w:tcPr>
          <w:p>
            <w:pPr>
              <w:pStyle w:val="Normal"/>
              <w:rPr>
                <w:rFonts w:ascii="Trebuchet MS" w:hAnsi="Trebuchet MS" w:eastAsia="Times New Roman" w:cs="Calibri"/>
                <w:b/>
                <w:b/>
                <w:color w:val="000000"/>
                <w:sz w:val="16"/>
                <w:szCs w:val="16"/>
                <w:lang w:bidi="ar-SA"/>
              </w:rPr>
            </w:pPr>
            <w:r>
              <w:rPr>
                <w:rFonts w:cs="Calibri" w:ascii="Trebuchet MS" w:hAnsi="Trebuchet MS"/>
                <w:b/>
                <w:bCs/>
                <w:color w:val="000000"/>
                <w:sz w:val="16"/>
                <w:szCs w:val="16"/>
              </w:rPr>
              <w:t>На 31 декабря 2017 года</w:t>
            </w:r>
          </w:p>
        </w:tc>
        <w:tc>
          <w:tcPr>
            <w:tcW w:w="1232"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2 429 146</w:t>
            </w:r>
          </w:p>
        </w:tc>
        <w:tc>
          <w:tcPr>
            <w:tcW w:w="1353"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14 019</w:t>
            </w:r>
          </w:p>
        </w:tc>
        <w:tc>
          <w:tcPr>
            <w:tcW w:w="1125"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28 919</w:t>
            </w:r>
          </w:p>
        </w:tc>
        <w:tc>
          <w:tcPr>
            <w:tcW w:w="1315"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890 165</w:t>
            </w:r>
          </w:p>
        </w:tc>
        <w:tc>
          <w:tcPr>
            <w:tcW w:w="1029"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42 460</w:t>
            </w:r>
          </w:p>
        </w:tc>
        <w:tc>
          <w:tcPr>
            <w:tcW w:w="1345"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1 283</w:t>
            </w:r>
          </w:p>
        </w:tc>
        <w:tc>
          <w:tcPr>
            <w:tcW w:w="1267" w:type="dxa"/>
            <w:tcBorders>
              <w:top w:val="single" w:sz="4"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3 405 992</w:t>
            </w:r>
          </w:p>
        </w:tc>
      </w:tr>
      <w:tr>
        <w:trPr>
          <w:trHeight w:val="315" w:hRule="atLeast"/>
        </w:trPr>
        <w:tc>
          <w:tcPr>
            <w:tcW w:w="1772" w:type="dxa"/>
            <w:tcBorders/>
            <w:shd w:fill="auto" w:val="clear"/>
            <w:vAlign w:val="center"/>
          </w:tcPr>
          <w:p>
            <w:pPr>
              <w:pStyle w:val="Normal"/>
              <w:rPr>
                <w:rFonts w:ascii="Trebuchet MS" w:hAnsi="Trebuchet MS" w:eastAsia="Times New Roman" w:cs="Calibri"/>
                <w:b/>
                <w:b/>
                <w:color w:val="000000"/>
                <w:sz w:val="16"/>
                <w:szCs w:val="16"/>
                <w:lang w:bidi="ar-SA"/>
              </w:rPr>
            </w:pPr>
            <w:r>
              <w:rPr>
                <w:rFonts w:cs="Calibri" w:ascii="Trebuchet MS" w:hAnsi="Trebuchet MS"/>
                <w:b/>
                <w:bCs/>
                <w:color w:val="000000"/>
                <w:sz w:val="16"/>
                <w:szCs w:val="16"/>
              </w:rPr>
              <w:t>На 31 декабря 2018 года</w:t>
            </w:r>
          </w:p>
        </w:tc>
        <w:tc>
          <w:tcPr>
            <w:tcW w:w="1232"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2 224 868</w:t>
            </w:r>
          </w:p>
        </w:tc>
        <w:tc>
          <w:tcPr>
            <w:tcW w:w="1353"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17 699</w:t>
            </w:r>
          </w:p>
        </w:tc>
        <w:tc>
          <w:tcPr>
            <w:tcW w:w="1125"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18 089</w:t>
            </w:r>
          </w:p>
        </w:tc>
        <w:tc>
          <w:tcPr>
            <w:tcW w:w="1315"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823 130</w:t>
            </w:r>
          </w:p>
        </w:tc>
        <w:tc>
          <w:tcPr>
            <w:tcW w:w="1029"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27 806</w:t>
            </w:r>
          </w:p>
        </w:tc>
        <w:tc>
          <w:tcPr>
            <w:tcW w:w="1345"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2 087</w:t>
            </w:r>
          </w:p>
        </w:tc>
        <w:tc>
          <w:tcPr>
            <w:tcW w:w="1267"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3 113 680</w:t>
            </w:r>
          </w:p>
        </w:tc>
      </w:tr>
      <w:tr>
        <w:trPr>
          <w:trHeight w:val="315" w:hRule="atLeast"/>
        </w:trPr>
        <w:tc>
          <w:tcPr>
            <w:tcW w:w="1772"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r>
          </w:p>
        </w:tc>
        <w:tc>
          <w:tcPr>
            <w:tcW w:w="1232"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53"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125"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15"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029"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345"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267"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r>
    </w:tbl>
    <w:p>
      <w:pPr>
        <w:pStyle w:val="Normal"/>
        <w:keepLines/>
        <w:numPr>
          <w:ilvl w:val="0"/>
          <w:numId w:val="0"/>
        </w:numPr>
        <w:spacing w:before="120" w:after="120"/>
        <w:ind w:right="136" w:hanging="0"/>
        <w:outlineLvl w:val="0"/>
        <w:rPr>
          <w:rFonts w:ascii="Cambria" w:hAnsi="Cambria" w:eastAsia="Times New Roman"/>
          <w:sz w:val="20"/>
          <w:szCs w:val="20"/>
          <w:lang w:eastAsia="en-US" w:bidi="ar-SA"/>
        </w:rPr>
      </w:pPr>
      <w:r>
        <w:rPr>
          <w:rFonts w:eastAsia="Times New Roman" w:ascii="Cambria" w:hAnsi="Cambria"/>
          <w:sz w:val="20"/>
          <w:szCs w:val="20"/>
          <w:lang w:eastAsia="en-US" w:bidi="ar-SA"/>
        </w:rPr>
        <w:t>Начисленная за 2018 год амортизация отнесена на себестоимость в сумме 147 601 тыс. рублей и на административные расходы в сумме 213 059 тыс. рублей (за 2017год – 34 039 тыс. рублей и 323 591 тыс. рублей соответственно)</w:t>
      </w:r>
    </w:p>
    <w:p>
      <w:pPr>
        <w:pStyle w:val="Normal"/>
        <w:keepLines/>
        <w:numPr>
          <w:ilvl w:val="0"/>
          <w:numId w:val="0"/>
        </w:numPr>
        <w:spacing w:before="120" w:after="120"/>
        <w:ind w:right="136" w:hanging="0"/>
        <w:outlineLvl w:val="0"/>
        <w:rPr>
          <w:rFonts w:ascii="Cambria" w:hAnsi="Cambria" w:eastAsia="Times New Roman"/>
          <w:sz w:val="20"/>
          <w:szCs w:val="20"/>
          <w:lang w:eastAsia="en-US" w:bidi="ar-SA"/>
        </w:rPr>
      </w:pPr>
      <w:r>
        <w:rPr>
          <w:rFonts w:eastAsia="Times New Roman" w:ascii="Cambria" w:hAnsi="Cambria"/>
          <w:sz w:val="20"/>
          <w:szCs w:val="20"/>
          <w:lang w:eastAsia="en-US" w:bidi="ar-SA"/>
        </w:rPr>
        <w:t>На 31.12.2017 имущество стоимостью 125 000 тыс. рублей находилось в залоге у банка  в  обеспечение Кредитного договора № 10 от 4 мая 2017 года, сроком до 2018 года.</w:t>
      </w:r>
    </w:p>
    <w:p>
      <w:pPr>
        <w:pStyle w:val="Normal"/>
        <w:keepLines/>
        <w:numPr>
          <w:ilvl w:val="0"/>
          <w:numId w:val="0"/>
        </w:numPr>
        <w:spacing w:before="120" w:after="120"/>
        <w:ind w:right="136" w:hanging="0"/>
        <w:outlineLvl w:val="0"/>
        <w:rPr>
          <w:rFonts w:ascii="Cambria" w:hAnsi="Cambria" w:eastAsia="Times New Roman" w:cs="Arial"/>
          <w:b/>
          <w:b/>
          <w:bCs/>
          <w:kern w:val="2"/>
          <w:szCs w:val="20"/>
        </w:rPr>
      </w:pPr>
      <w:r>
        <w:rPr>
          <w:rFonts w:eastAsia="Times New Roman" w:cs="Arial" w:ascii="Cambria" w:hAnsi="Cambria"/>
          <w:b/>
          <w:bCs/>
          <w:kern w:val="2"/>
          <w:szCs w:val="20"/>
        </w:rPr>
      </w:r>
    </w:p>
    <w:p>
      <w:pPr>
        <w:pStyle w:val="ListParagraph"/>
        <w:keepLines/>
        <w:numPr>
          <w:ilvl w:val="0"/>
          <w:numId w:val="6"/>
        </w:numPr>
        <w:spacing w:before="120" w:after="120"/>
        <w:ind w:left="720" w:right="136" w:hanging="360"/>
        <w:contextualSpacing/>
        <w:outlineLvl w:val="0"/>
        <w:rPr>
          <w:rFonts w:ascii="Cambria" w:hAnsi="Cambria" w:eastAsia="Times New Roman" w:cs="Arial"/>
          <w:b/>
          <w:b/>
          <w:bCs/>
          <w:kern w:val="2"/>
          <w:szCs w:val="20"/>
        </w:rPr>
      </w:pPr>
      <w:r>
        <w:rPr>
          <w:rFonts w:eastAsia="Times New Roman" w:cs="Arial" w:ascii="Cambria" w:hAnsi="Cambria"/>
          <w:b/>
          <w:bCs/>
          <w:kern w:val="2"/>
          <w:szCs w:val="20"/>
        </w:rPr>
        <w:t>Инвестиционное имущество</w:t>
      </w:r>
    </w:p>
    <w:p>
      <w:pPr>
        <w:pStyle w:val="Normal"/>
        <w:keepLines/>
        <w:numPr>
          <w:ilvl w:val="0"/>
          <w:numId w:val="0"/>
        </w:numPr>
        <w:spacing w:before="120" w:after="120"/>
        <w:ind w:left="360" w:right="136" w:hanging="0"/>
        <w:outlineLvl w:val="0"/>
        <w:rPr>
          <w:rFonts w:ascii="Cambria" w:hAnsi="Cambria" w:eastAsia="Times New Roman" w:cs="Arial"/>
          <w:b/>
          <w:b/>
          <w:bCs/>
          <w:kern w:val="2"/>
          <w:szCs w:val="20"/>
        </w:rPr>
      </w:pPr>
      <w:r>
        <w:rPr>
          <w:rFonts w:eastAsia="Times New Roman" w:cs="Arial" w:ascii="Cambria" w:hAnsi="Cambria"/>
          <w:b/>
          <w:bCs/>
          <w:kern w:val="2"/>
          <w:szCs w:val="20"/>
        </w:rPr>
      </w:r>
    </w:p>
    <w:tbl>
      <w:tblPr>
        <w:tblW w:w="9072" w:type="dxa"/>
        <w:jc w:val="left"/>
        <w:tblInd w:w="1" w:type="dxa"/>
        <w:tblBorders/>
        <w:tblCellMar>
          <w:top w:w="0" w:type="dxa"/>
          <w:left w:w="108" w:type="dxa"/>
          <w:bottom w:w="0" w:type="dxa"/>
          <w:right w:w="108" w:type="dxa"/>
        </w:tblCellMar>
        <w:tblLook w:firstRow="1" w:noVBand="1" w:lastRow="0" w:firstColumn="1" w:lastColumn="0" w:noHBand="0" w:val="04a0"/>
      </w:tblPr>
      <w:tblGrid>
        <w:gridCol w:w="2976"/>
        <w:gridCol w:w="284"/>
        <w:gridCol w:w="1842"/>
        <w:gridCol w:w="1843"/>
        <w:gridCol w:w="2127"/>
      </w:tblGrid>
      <w:tr>
        <w:trPr>
          <w:trHeight w:val="300" w:hRule="atLeast"/>
        </w:trPr>
        <w:tc>
          <w:tcPr>
            <w:tcW w:w="2976"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84"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2"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Здания</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и</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сооружения</w:t>
            </w:r>
          </w:p>
        </w:tc>
        <w:tc>
          <w:tcPr>
            <w:tcW w:w="1843"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Земля</w:t>
            </w:r>
          </w:p>
        </w:tc>
        <w:tc>
          <w:tcPr>
            <w:tcW w:w="2127" w:type="dxa"/>
            <w:tcBorders/>
            <w:shd w:fill="auto" w:val="clear"/>
            <w:vAlign w:val="bottom"/>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Итого</w:t>
            </w:r>
          </w:p>
        </w:tc>
      </w:tr>
      <w:tr>
        <w:trPr>
          <w:trHeight w:val="300" w:hRule="atLeast"/>
        </w:trPr>
        <w:tc>
          <w:tcPr>
            <w:tcW w:w="2976" w:type="dxa"/>
            <w:tcBorders/>
            <w:shd w:fill="auto" w:val="clear"/>
            <w:vAlign w:val="center"/>
          </w:tcPr>
          <w:p>
            <w:pPr>
              <w:pStyle w:val="Normal"/>
              <w:rPr>
                <w:rFonts w:ascii="Tempus Sans ITC" w:hAnsi="Tempus Sans ITC" w:eastAsia="Times New Roman" w:cs="Calibri"/>
                <w:b/>
                <w:b/>
                <w:bCs/>
                <w:color w:val="000000"/>
                <w:sz w:val="16"/>
                <w:szCs w:val="16"/>
                <w:lang w:bidi="ar-SA"/>
              </w:rPr>
            </w:pPr>
            <w:r>
              <w:rPr>
                <w:rFonts w:eastAsia="Times New Roman" w:cs="Cambria" w:ascii="Cambria" w:hAnsi="Cambria"/>
                <w:b/>
                <w:bCs/>
                <w:color w:val="000000"/>
                <w:sz w:val="16"/>
                <w:szCs w:val="16"/>
                <w:lang w:bidi="ar-SA"/>
              </w:rPr>
              <w:t>Стоимость</w:t>
            </w:r>
            <w:r>
              <w:rPr>
                <w:rFonts w:eastAsia="Times New Roman" w:cs="Calibri" w:ascii="Tempus Sans ITC" w:hAnsi="Tempus Sans ITC"/>
                <w:b/>
                <w:bCs/>
                <w:color w:val="000000"/>
                <w:sz w:val="16"/>
                <w:szCs w:val="16"/>
                <w:lang w:bidi="ar-SA"/>
              </w:rPr>
              <w:t xml:space="preserve"> </w:t>
            </w:r>
            <w:r>
              <w:rPr>
                <w:rFonts w:eastAsia="Times New Roman" w:cs="Cambria" w:ascii="Cambria" w:hAnsi="Cambria"/>
                <w:b/>
                <w:bCs/>
                <w:color w:val="000000"/>
                <w:sz w:val="16"/>
                <w:szCs w:val="16"/>
                <w:lang w:bidi="ar-SA"/>
              </w:rPr>
              <w:t>приобретения</w:t>
            </w:r>
          </w:p>
        </w:tc>
        <w:tc>
          <w:tcPr>
            <w:tcW w:w="284" w:type="dxa"/>
            <w:tcBorders/>
            <w:shd w:fill="auto" w:val="clear"/>
            <w:vAlign w:val="center"/>
          </w:tcPr>
          <w:p>
            <w:pPr>
              <w:pStyle w:val="Normal"/>
              <w:rPr>
                <w:rFonts w:ascii="Tempus Sans ITC" w:hAnsi="Tempus Sans ITC" w:eastAsia="Times New Roman" w:cs="Calibri"/>
                <w:b/>
                <w:b/>
                <w:bCs/>
                <w:color w:val="000000"/>
                <w:sz w:val="16"/>
                <w:szCs w:val="16"/>
                <w:lang w:bidi="ar-SA"/>
              </w:rPr>
            </w:pPr>
            <w:r>
              <w:rPr>
                <w:rFonts w:eastAsia="Times New Roman" w:cs="Calibri" w:ascii="Tempus Sans ITC" w:hAnsi="Tempus Sans ITC"/>
                <w:b/>
                <w:bCs/>
                <w:color w:val="000000"/>
                <w:sz w:val="16"/>
                <w:szCs w:val="16"/>
                <w:lang w:bidi="ar-SA"/>
              </w:rPr>
            </w:r>
          </w:p>
        </w:tc>
        <w:tc>
          <w:tcPr>
            <w:tcW w:w="1842"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3"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127"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15" w:hRule="atLeast"/>
        </w:trPr>
        <w:tc>
          <w:tcPr>
            <w:tcW w:w="2976"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bCs/>
                <w:color w:val="000000"/>
                <w:sz w:val="16"/>
                <w:szCs w:val="16"/>
              </w:rPr>
              <w:t>На 1 января 2017 года</w:t>
            </w:r>
          </w:p>
        </w:tc>
        <w:tc>
          <w:tcPr>
            <w:tcW w:w="284"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r>
          </w:p>
        </w:tc>
        <w:tc>
          <w:tcPr>
            <w:tcW w:w="1842"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 xml:space="preserve">239 570 </w:t>
            </w:r>
          </w:p>
        </w:tc>
        <w:tc>
          <w:tcPr>
            <w:tcW w:w="1843"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 xml:space="preserve">202 885 </w:t>
            </w:r>
          </w:p>
        </w:tc>
        <w:tc>
          <w:tcPr>
            <w:tcW w:w="2127"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 xml:space="preserve">442 455 </w:t>
            </w:r>
          </w:p>
        </w:tc>
      </w:tr>
      <w:tr>
        <w:trPr>
          <w:trHeight w:val="315" w:hRule="atLeast"/>
        </w:trPr>
        <w:tc>
          <w:tcPr>
            <w:tcW w:w="2976"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bCs/>
                <w:color w:val="000000"/>
                <w:sz w:val="16"/>
                <w:szCs w:val="16"/>
              </w:rPr>
              <w:t>На 31 декабря 2017 года</w:t>
            </w:r>
          </w:p>
        </w:tc>
        <w:tc>
          <w:tcPr>
            <w:tcW w:w="284"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r>
          </w:p>
        </w:tc>
        <w:tc>
          <w:tcPr>
            <w:tcW w:w="1842"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 xml:space="preserve">239 570 </w:t>
            </w:r>
          </w:p>
        </w:tc>
        <w:tc>
          <w:tcPr>
            <w:tcW w:w="1843"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 xml:space="preserve">202 885 </w:t>
            </w:r>
          </w:p>
        </w:tc>
        <w:tc>
          <w:tcPr>
            <w:tcW w:w="2127"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 xml:space="preserve">442 455 </w:t>
            </w:r>
          </w:p>
        </w:tc>
      </w:tr>
      <w:tr>
        <w:trPr>
          <w:trHeight w:val="330" w:hRule="atLeast"/>
        </w:trPr>
        <w:tc>
          <w:tcPr>
            <w:tcW w:w="2976"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bCs/>
                <w:color w:val="000000"/>
                <w:sz w:val="16"/>
                <w:szCs w:val="16"/>
              </w:rPr>
              <w:t>На 31 декабря 2018 года</w:t>
            </w:r>
          </w:p>
        </w:tc>
        <w:tc>
          <w:tcPr>
            <w:tcW w:w="284"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r>
          </w:p>
        </w:tc>
        <w:tc>
          <w:tcPr>
            <w:tcW w:w="184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 xml:space="preserve">239 570 </w:t>
            </w:r>
          </w:p>
        </w:tc>
        <w:tc>
          <w:tcPr>
            <w:tcW w:w="184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 xml:space="preserve">202 885 </w:t>
            </w:r>
          </w:p>
        </w:tc>
        <w:tc>
          <w:tcPr>
            <w:tcW w:w="212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 xml:space="preserve">442 455 </w:t>
            </w:r>
          </w:p>
        </w:tc>
      </w:tr>
      <w:tr>
        <w:trPr>
          <w:trHeight w:val="510" w:hRule="atLeast"/>
        </w:trPr>
        <w:tc>
          <w:tcPr>
            <w:tcW w:w="2976" w:type="dxa"/>
            <w:tcBorders/>
            <w:shd w:fill="auto" w:val="clear"/>
            <w:vAlign w:val="center"/>
          </w:tcPr>
          <w:p>
            <w:pPr>
              <w:pStyle w:val="Normal"/>
              <w:rPr>
                <w:rFonts w:ascii="Cambria" w:hAnsi="Cambria" w:eastAsia="Times New Roman" w:cs="Calibri"/>
                <w:b/>
                <w:b/>
                <w:bCs/>
                <w:i/>
                <w:i/>
                <w:iCs/>
                <w:color w:val="000000"/>
                <w:sz w:val="20"/>
                <w:szCs w:val="20"/>
                <w:lang w:bidi="ar-SA"/>
              </w:rPr>
            </w:pPr>
            <w:r>
              <w:rPr>
                <w:rFonts w:eastAsia="Times New Roman" w:cs="Calibri" w:ascii="Cambria" w:hAnsi="Cambria"/>
                <w:b/>
                <w:bCs/>
                <w:i/>
                <w:iCs/>
                <w:color w:val="000000"/>
                <w:sz w:val="20"/>
                <w:szCs w:val="20"/>
                <w:lang w:bidi="ar-SA"/>
              </w:rPr>
              <w:t>Начисленная амортизация и обесценение</w:t>
            </w:r>
          </w:p>
        </w:tc>
        <w:tc>
          <w:tcPr>
            <w:tcW w:w="284" w:type="dxa"/>
            <w:tcBorders/>
            <w:shd w:fill="auto" w:val="clear"/>
            <w:vAlign w:val="center"/>
          </w:tcPr>
          <w:p>
            <w:pPr>
              <w:pStyle w:val="Normal"/>
              <w:rPr>
                <w:rFonts w:ascii="Cambria" w:hAnsi="Cambria" w:eastAsia="Times New Roman" w:cs="Calibri"/>
                <w:b/>
                <w:b/>
                <w:bCs/>
                <w:i/>
                <w:i/>
                <w:iCs/>
                <w:color w:val="000000"/>
                <w:sz w:val="20"/>
                <w:szCs w:val="20"/>
                <w:lang w:bidi="ar-SA"/>
              </w:rPr>
            </w:pPr>
            <w:r>
              <w:rPr>
                <w:rFonts w:eastAsia="Times New Roman" w:cs="Calibri" w:ascii="Cambria" w:hAnsi="Cambria"/>
                <w:b/>
                <w:bCs/>
                <w:i/>
                <w:iCs/>
                <w:color w:val="000000"/>
                <w:sz w:val="20"/>
                <w:szCs w:val="20"/>
                <w:lang w:bidi="ar-SA"/>
              </w:rPr>
            </w:r>
          </w:p>
        </w:tc>
        <w:tc>
          <w:tcPr>
            <w:tcW w:w="184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84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2127"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00" w:hRule="atLeast"/>
        </w:trPr>
        <w:tc>
          <w:tcPr>
            <w:tcW w:w="2976"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t>На 1 января 2017 года</w:t>
            </w:r>
          </w:p>
        </w:tc>
        <w:tc>
          <w:tcPr>
            <w:tcW w:w="284"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r>
          </w:p>
        </w:tc>
        <w:tc>
          <w:tcPr>
            <w:tcW w:w="1842"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w:t>
            </w:r>
          </w:p>
        </w:tc>
        <w:tc>
          <w:tcPr>
            <w:tcW w:w="1843"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w:t>
            </w:r>
          </w:p>
        </w:tc>
        <w:tc>
          <w:tcPr>
            <w:tcW w:w="2127"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w:t>
            </w:r>
          </w:p>
        </w:tc>
      </w:tr>
      <w:tr>
        <w:trPr>
          <w:trHeight w:val="315" w:hRule="atLeast"/>
        </w:trPr>
        <w:tc>
          <w:tcPr>
            <w:tcW w:w="2976"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t>Амортизационные расходы</w:t>
            </w:r>
          </w:p>
        </w:tc>
        <w:tc>
          <w:tcPr>
            <w:tcW w:w="284"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r>
          </w:p>
        </w:tc>
        <w:tc>
          <w:tcPr>
            <w:tcW w:w="1842"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(4 229)</w:t>
            </w:r>
          </w:p>
        </w:tc>
        <w:tc>
          <w:tcPr>
            <w:tcW w:w="1843"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 xml:space="preserve">-   </w:t>
            </w:r>
          </w:p>
        </w:tc>
        <w:tc>
          <w:tcPr>
            <w:tcW w:w="2127" w:type="dxa"/>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(4 229)</w:t>
            </w:r>
          </w:p>
        </w:tc>
      </w:tr>
      <w:tr>
        <w:trPr>
          <w:trHeight w:val="315" w:hRule="atLeast"/>
        </w:trPr>
        <w:tc>
          <w:tcPr>
            <w:tcW w:w="2976"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cs="Calibri" w:ascii="Trebuchet MS" w:hAnsi="Trebuchet MS"/>
                <w:b/>
                <w:bCs/>
                <w:color w:val="000000"/>
                <w:sz w:val="16"/>
                <w:szCs w:val="16"/>
              </w:rPr>
              <w:t>На 31 декабря 2017 года</w:t>
            </w:r>
          </w:p>
        </w:tc>
        <w:tc>
          <w:tcPr>
            <w:tcW w:w="284"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r>
          </w:p>
        </w:tc>
        <w:tc>
          <w:tcPr>
            <w:tcW w:w="1842"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(4 229)</w:t>
            </w:r>
          </w:p>
        </w:tc>
        <w:tc>
          <w:tcPr>
            <w:tcW w:w="1843"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 xml:space="preserve">- </w:t>
            </w:r>
          </w:p>
        </w:tc>
        <w:tc>
          <w:tcPr>
            <w:tcW w:w="2127"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(4 229)</w:t>
            </w:r>
          </w:p>
        </w:tc>
      </w:tr>
      <w:tr>
        <w:trPr>
          <w:trHeight w:val="315" w:hRule="atLeast"/>
        </w:trPr>
        <w:tc>
          <w:tcPr>
            <w:tcW w:w="2976"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t>Амортизационные расходы</w:t>
            </w:r>
          </w:p>
        </w:tc>
        <w:tc>
          <w:tcPr>
            <w:tcW w:w="284"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r>
          </w:p>
        </w:tc>
        <w:tc>
          <w:tcPr>
            <w:tcW w:w="1842"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(4 229)</w:t>
            </w:r>
          </w:p>
        </w:tc>
        <w:tc>
          <w:tcPr>
            <w:tcW w:w="1843"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 xml:space="preserve">-   </w:t>
            </w:r>
          </w:p>
        </w:tc>
        <w:tc>
          <w:tcPr>
            <w:tcW w:w="2127"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 xml:space="preserve">              </w:t>
            </w:r>
            <w:r>
              <w:rPr>
                <w:rFonts w:cs="Calibri" w:ascii="Cambria" w:hAnsi="Cambria"/>
                <w:color w:val="000000"/>
                <w:sz w:val="20"/>
                <w:szCs w:val="20"/>
              </w:rPr>
              <w:t>(4 229)</w:t>
            </w:r>
          </w:p>
        </w:tc>
      </w:tr>
      <w:tr>
        <w:trPr>
          <w:trHeight w:val="405" w:hRule="atLeast"/>
        </w:trPr>
        <w:tc>
          <w:tcPr>
            <w:tcW w:w="2976"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t xml:space="preserve">На </w:t>
            </w:r>
            <w:r>
              <w:rPr>
                <w:rFonts w:cs="Calibri" w:ascii="Trebuchet MS" w:hAnsi="Trebuchet MS"/>
                <w:b/>
                <w:bCs/>
                <w:color w:val="000000"/>
                <w:sz w:val="16"/>
                <w:szCs w:val="16"/>
              </w:rPr>
              <w:t xml:space="preserve">31 декабря </w:t>
            </w:r>
            <w:r>
              <w:rPr>
                <w:rFonts w:eastAsia="Times New Roman" w:cs="Calibri" w:ascii="Trebuchet MS" w:hAnsi="Trebuchet MS"/>
                <w:b/>
                <w:bCs/>
                <w:color w:val="000000"/>
                <w:sz w:val="16"/>
                <w:szCs w:val="16"/>
                <w:lang w:bidi="ar-SA"/>
              </w:rPr>
              <w:t>2018 года</w:t>
            </w:r>
          </w:p>
        </w:tc>
        <w:tc>
          <w:tcPr>
            <w:tcW w:w="284"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r>
          </w:p>
        </w:tc>
        <w:tc>
          <w:tcPr>
            <w:tcW w:w="1842"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(8 457)</w:t>
            </w:r>
          </w:p>
        </w:tc>
        <w:tc>
          <w:tcPr>
            <w:tcW w:w="1843"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 xml:space="preserve">- </w:t>
            </w:r>
          </w:p>
        </w:tc>
        <w:tc>
          <w:tcPr>
            <w:tcW w:w="2127"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 xml:space="preserve">             </w:t>
            </w:r>
            <w:r>
              <w:rPr>
                <w:rFonts w:cs="Calibri" w:ascii="Cambria" w:hAnsi="Cambria"/>
                <w:b/>
                <w:bCs/>
                <w:color w:val="000000"/>
                <w:sz w:val="20"/>
                <w:szCs w:val="20"/>
              </w:rPr>
              <w:t>(8 457)</w:t>
            </w:r>
          </w:p>
        </w:tc>
      </w:tr>
      <w:tr>
        <w:trPr>
          <w:trHeight w:val="300" w:hRule="atLeast"/>
        </w:trPr>
        <w:tc>
          <w:tcPr>
            <w:tcW w:w="2976"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t>Остаточная стоимость</w:t>
            </w:r>
          </w:p>
        </w:tc>
        <w:tc>
          <w:tcPr>
            <w:tcW w:w="284" w:type="dxa"/>
            <w:tcBorders/>
            <w:shd w:fill="auto" w:val="clear"/>
            <w:vAlign w:val="center"/>
          </w:tcPr>
          <w:p>
            <w:pPr>
              <w:pStyle w:val="Normal"/>
              <w:rPr>
                <w:rFonts w:ascii="Trebuchet MS" w:hAnsi="Trebuchet MS" w:eastAsia="Times New Roman" w:cs="Calibri"/>
                <w:b/>
                <w:b/>
                <w:bCs/>
                <w:color w:val="000000"/>
                <w:sz w:val="16"/>
                <w:szCs w:val="16"/>
                <w:lang w:bidi="ar-SA"/>
              </w:rPr>
            </w:pPr>
            <w:r>
              <w:rPr>
                <w:rFonts w:eastAsia="Times New Roman" w:cs="Calibri" w:ascii="Trebuchet MS" w:hAnsi="Trebuchet MS"/>
                <w:b/>
                <w:bCs/>
                <w:color w:val="000000"/>
                <w:sz w:val="16"/>
                <w:szCs w:val="16"/>
                <w:lang w:bidi="ar-SA"/>
              </w:rPr>
            </w:r>
          </w:p>
        </w:tc>
        <w:tc>
          <w:tcPr>
            <w:tcW w:w="1842"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3"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127"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15" w:hRule="atLeast"/>
        </w:trPr>
        <w:tc>
          <w:tcPr>
            <w:tcW w:w="2976" w:type="dxa"/>
            <w:tcBorders/>
            <w:shd w:fill="auto" w:val="clear"/>
            <w:vAlign w:val="center"/>
          </w:tcPr>
          <w:p>
            <w:pPr>
              <w:pStyle w:val="Normal"/>
              <w:rPr>
                <w:rFonts w:ascii="Trebuchet MS" w:hAnsi="Trebuchet MS" w:eastAsia="Times New Roman" w:cs="Calibri"/>
                <w:color w:val="000000"/>
                <w:sz w:val="16"/>
                <w:szCs w:val="16"/>
                <w:lang w:bidi="ar-SA"/>
              </w:rPr>
            </w:pPr>
            <w:r>
              <w:rPr>
                <w:rFonts w:cs="Calibri" w:ascii="Trebuchet MS" w:hAnsi="Trebuchet MS"/>
                <w:color w:val="000000"/>
                <w:sz w:val="16"/>
                <w:szCs w:val="16"/>
              </w:rPr>
              <w:t xml:space="preserve"> </w:t>
            </w:r>
            <w:r>
              <w:rPr>
                <w:rFonts w:cs="Calibri" w:ascii="Trebuchet MS" w:hAnsi="Trebuchet MS"/>
                <w:color w:val="000000"/>
                <w:sz w:val="16"/>
                <w:szCs w:val="16"/>
              </w:rPr>
              <w:t>На 1 января 2017 года</w:t>
            </w:r>
          </w:p>
        </w:tc>
        <w:tc>
          <w:tcPr>
            <w:tcW w:w="284"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r>
          </w:p>
        </w:tc>
        <w:tc>
          <w:tcPr>
            <w:tcW w:w="1842"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239 570</w:t>
            </w:r>
          </w:p>
        </w:tc>
        <w:tc>
          <w:tcPr>
            <w:tcW w:w="1843"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202 885</w:t>
            </w:r>
          </w:p>
        </w:tc>
        <w:tc>
          <w:tcPr>
            <w:tcW w:w="2127"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442 455</w:t>
            </w:r>
          </w:p>
        </w:tc>
      </w:tr>
      <w:tr>
        <w:trPr>
          <w:trHeight w:val="315" w:hRule="atLeast"/>
        </w:trPr>
        <w:tc>
          <w:tcPr>
            <w:tcW w:w="2976" w:type="dxa"/>
            <w:tcBorders/>
            <w:shd w:fill="auto" w:val="clear"/>
            <w:vAlign w:val="center"/>
          </w:tcPr>
          <w:p>
            <w:pPr>
              <w:pStyle w:val="Normal"/>
              <w:rPr>
                <w:rFonts w:ascii="Trebuchet MS" w:hAnsi="Trebuchet MS" w:eastAsia="Times New Roman" w:cs="Calibri"/>
                <w:color w:val="000000"/>
                <w:sz w:val="16"/>
                <w:szCs w:val="16"/>
                <w:lang w:bidi="ar-SA"/>
              </w:rPr>
            </w:pPr>
            <w:r>
              <w:rPr>
                <w:rFonts w:cs="Calibri" w:ascii="Trebuchet MS" w:hAnsi="Trebuchet MS"/>
                <w:b/>
                <w:bCs/>
                <w:color w:val="000000"/>
                <w:sz w:val="16"/>
                <w:szCs w:val="16"/>
              </w:rPr>
              <w:t>На 31 декабря 2017 года</w:t>
            </w:r>
          </w:p>
        </w:tc>
        <w:tc>
          <w:tcPr>
            <w:tcW w:w="284"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r>
          </w:p>
        </w:tc>
        <w:tc>
          <w:tcPr>
            <w:tcW w:w="1842"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235 341</w:t>
            </w:r>
          </w:p>
        </w:tc>
        <w:tc>
          <w:tcPr>
            <w:tcW w:w="1843"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202 885</w:t>
            </w:r>
          </w:p>
        </w:tc>
        <w:tc>
          <w:tcPr>
            <w:tcW w:w="2127"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438 226</w:t>
            </w:r>
          </w:p>
        </w:tc>
      </w:tr>
      <w:tr>
        <w:trPr>
          <w:trHeight w:val="315" w:hRule="atLeast"/>
        </w:trPr>
        <w:tc>
          <w:tcPr>
            <w:tcW w:w="2976" w:type="dxa"/>
            <w:tcBorders/>
            <w:shd w:fill="auto" w:val="clear"/>
            <w:vAlign w:val="center"/>
          </w:tcPr>
          <w:p>
            <w:pPr>
              <w:pStyle w:val="Normal"/>
              <w:rPr>
                <w:rFonts w:ascii="Trebuchet MS" w:hAnsi="Trebuchet MS" w:eastAsia="Times New Roman" w:cs="Calibri"/>
                <w:color w:val="000000"/>
                <w:sz w:val="16"/>
                <w:szCs w:val="16"/>
                <w:lang w:bidi="ar-SA"/>
              </w:rPr>
            </w:pPr>
            <w:r>
              <w:rPr>
                <w:rFonts w:cs="Calibri" w:ascii="Trebuchet MS" w:hAnsi="Trebuchet MS"/>
                <w:b/>
                <w:bCs/>
                <w:color w:val="000000"/>
                <w:sz w:val="16"/>
                <w:szCs w:val="16"/>
              </w:rPr>
              <w:t>На 31 декабря 2018 года</w:t>
            </w:r>
          </w:p>
        </w:tc>
        <w:tc>
          <w:tcPr>
            <w:tcW w:w="284" w:type="dxa"/>
            <w:tcBorders/>
            <w:shd w:fill="auto" w:val="clear"/>
            <w:vAlign w:val="center"/>
          </w:tcPr>
          <w:p>
            <w:pPr>
              <w:pStyle w:val="Normal"/>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r>
          </w:p>
        </w:tc>
        <w:tc>
          <w:tcPr>
            <w:tcW w:w="1842"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231 113</w:t>
            </w:r>
          </w:p>
        </w:tc>
        <w:tc>
          <w:tcPr>
            <w:tcW w:w="1843"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202 885</w:t>
            </w:r>
          </w:p>
        </w:tc>
        <w:tc>
          <w:tcPr>
            <w:tcW w:w="2127"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433 998</w:t>
            </w:r>
          </w:p>
        </w:tc>
      </w:tr>
    </w:tbl>
    <w:p>
      <w:pPr>
        <w:pStyle w:val="Normal"/>
        <w:keepLines/>
        <w:numPr>
          <w:ilvl w:val="0"/>
          <w:numId w:val="0"/>
        </w:numPr>
        <w:spacing w:before="120" w:after="120"/>
        <w:ind w:left="360" w:right="136" w:hanging="0"/>
        <w:outlineLvl w:val="0"/>
        <w:rPr>
          <w:rFonts w:ascii="Cambria" w:hAnsi="Cambria" w:eastAsia="Times New Roman" w:cs="Arial"/>
          <w:b/>
          <w:b/>
          <w:bCs/>
          <w:kern w:val="2"/>
          <w:szCs w:val="20"/>
        </w:rPr>
      </w:pPr>
      <w:r>
        <w:rPr>
          <w:rFonts w:eastAsia="Times New Roman" w:cs="Arial" w:ascii="Cambria" w:hAnsi="Cambria"/>
          <w:b/>
          <w:bCs/>
          <w:kern w:val="2"/>
          <w:szCs w:val="20"/>
        </w:rPr>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Начисленная за 2018 год амортизация отнесена на себестоимость в сумме 4 229 тыс. рублей и (за 2017 год – 4 229 тыс. рублей)</w:t>
      </w:r>
    </w:p>
    <w:p>
      <w:pPr>
        <w:pStyle w:val="ListParagraph"/>
        <w:keepLines/>
        <w:numPr>
          <w:ilvl w:val="0"/>
          <w:numId w:val="6"/>
        </w:numPr>
        <w:spacing w:before="120" w:after="120"/>
        <w:ind w:left="720" w:right="136" w:hanging="360"/>
        <w:contextualSpacing/>
        <w:outlineLvl w:val="0"/>
        <w:rPr>
          <w:rFonts w:ascii="Cambria" w:hAnsi="Cambria" w:eastAsia="Times New Roman" w:cs="Arial"/>
          <w:b/>
          <w:b/>
          <w:bCs/>
          <w:kern w:val="2"/>
          <w:szCs w:val="20"/>
        </w:rPr>
      </w:pPr>
      <w:r>
        <w:rPr>
          <w:rFonts w:eastAsia="Times New Roman" w:cs="Arial" w:ascii="Cambria" w:hAnsi="Cambria"/>
          <w:b/>
          <w:bCs/>
          <w:kern w:val="2"/>
          <w:szCs w:val="20"/>
        </w:rPr>
        <w:t>Долгосрочные финансовые вложения</w:t>
      </w:r>
    </w:p>
    <w:p>
      <w:pPr>
        <w:pStyle w:val="Normal"/>
        <w:keepLines/>
        <w:numPr>
          <w:ilvl w:val="0"/>
          <w:numId w:val="0"/>
        </w:numPr>
        <w:spacing w:before="120" w:after="120"/>
        <w:ind w:right="136" w:hanging="0"/>
        <w:outlineLvl w:val="0"/>
        <w:rPr>
          <w:rFonts w:ascii="Cambria" w:hAnsi="Cambria" w:eastAsia="Times New Roman" w:cs="Arial"/>
          <w:b/>
          <w:b/>
          <w:bCs/>
          <w:kern w:val="2"/>
          <w:szCs w:val="20"/>
        </w:rPr>
      </w:pPr>
      <w:r>
        <w:rPr>
          <w:rFonts w:eastAsia="Times New Roman" w:cs="Arial" w:ascii="Cambria" w:hAnsi="Cambria"/>
          <w:b/>
          <w:bCs/>
          <w:kern w:val="2"/>
          <w:szCs w:val="20"/>
        </w:rPr>
      </w:r>
    </w:p>
    <w:tbl>
      <w:tblPr>
        <w:tblW w:w="9440" w:type="dxa"/>
        <w:jc w:val="left"/>
        <w:tblInd w:w="0" w:type="dxa"/>
        <w:tblBorders/>
        <w:tblCellMar>
          <w:top w:w="0" w:type="dxa"/>
          <w:left w:w="0" w:type="dxa"/>
          <w:bottom w:w="0" w:type="dxa"/>
          <w:right w:w="0" w:type="dxa"/>
        </w:tblCellMar>
        <w:tblLook w:firstRow="1" w:noVBand="1" w:lastRow="0" w:firstColumn="1" w:lastColumn="0" w:noHBand="0" w:val="04a0"/>
      </w:tblPr>
      <w:tblGrid>
        <w:gridCol w:w="4180"/>
        <w:gridCol w:w="2020"/>
        <w:gridCol w:w="1639"/>
        <w:gridCol w:w="1600"/>
      </w:tblGrid>
      <w:tr>
        <w:trPr>
          <w:trHeight w:val="270" w:hRule="atLeast"/>
        </w:trPr>
        <w:tc>
          <w:tcPr>
            <w:tcW w:w="4180" w:type="dxa"/>
            <w:vMerge w:val="restart"/>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2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63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60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01 января</w:t>
            </w:r>
          </w:p>
        </w:tc>
      </w:tr>
      <w:tr>
        <w:trPr>
          <w:trHeight w:val="285" w:hRule="atLeast"/>
        </w:trPr>
        <w:tc>
          <w:tcPr>
            <w:tcW w:w="418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2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2018 года</w:t>
            </w:r>
          </w:p>
        </w:tc>
        <w:tc>
          <w:tcPr>
            <w:tcW w:w="163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c>
          <w:tcPr>
            <w:tcW w:w="160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r>
      <w:tr>
        <w:trPr>
          <w:trHeight w:val="315" w:hRule="atLeast"/>
        </w:trPr>
        <w:tc>
          <w:tcPr>
            <w:tcW w:w="4180" w:type="dxa"/>
            <w:tcBorders/>
            <w:shd w:fill="auto" w:val="clear"/>
            <w:vAlign w:val="center"/>
          </w:tcPr>
          <w:p>
            <w:pPr>
              <w:pStyle w:val="Normal"/>
              <w:ind w:firstLine="361"/>
              <w:rPr>
                <w:rFonts w:ascii="Cambria" w:hAnsi="Cambria" w:eastAsia="Times New Roman" w:cs="Calibri"/>
                <w:b/>
                <w:b/>
                <w:bCs/>
                <w:i/>
                <w:i/>
                <w:iCs/>
                <w:color w:val="000000"/>
                <w:sz w:val="18"/>
                <w:szCs w:val="18"/>
                <w:lang w:bidi="ar-SA"/>
              </w:rPr>
            </w:pPr>
            <w:r>
              <w:rPr>
                <w:rFonts w:eastAsia="Times New Roman" w:cs="Calibri" w:ascii="Cambria" w:hAnsi="Cambria"/>
                <w:b/>
                <w:bCs/>
                <w:i/>
                <w:iCs/>
                <w:color w:val="000000"/>
                <w:sz w:val="18"/>
                <w:szCs w:val="18"/>
                <w:lang w:bidi="ar-SA"/>
              </w:rPr>
              <w:t>Долгосрочные финансовые активы</w:t>
            </w:r>
          </w:p>
        </w:tc>
        <w:tc>
          <w:tcPr>
            <w:tcW w:w="2020" w:type="dxa"/>
            <w:tcBorders/>
            <w:shd w:fill="auto" w:val="clear"/>
            <w:vAlign w:val="center"/>
          </w:tcPr>
          <w:p>
            <w:pPr>
              <w:pStyle w:val="Normal"/>
              <w:ind w:firstLine="361"/>
              <w:jc w:val="right"/>
              <w:rPr>
                <w:rFonts w:ascii="Cambria" w:hAnsi="Cambria" w:eastAsia="Times New Roman" w:cs="Calibri"/>
                <w:b/>
                <w:b/>
                <w:bCs/>
                <w:i/>
                <w:i/>
                <w:iCs/>
                <w:color w:val="000000"/>
                <w:sz w:val="18"/>
                <w:szCs w:val="18"/>
                <w:lang w:bidi="ar-SA"/>
              </w:rPr>
            </w:pPr>
            <w:r>
              <w:rPr>
                <w:rFonts w:eastAsia="Times New Roman" w:cs="Calibri" w:ascii="Cambria" w:hAnsi="Cambria"/>
                <w:b/>
                <w:bCs/>
                <w:i/>
                <w:iCs/>
                <w:color w:val="000000"/>
                <w:sz w:val="18"/>
                <w:szCs w:val="18"/>
                <w:lang w:bidi="ar-SA"/>
              </w:rPr>
            </w:r>
          </w:p>
        </w:tc>
        <w:tc>
          <w:tcPr>
            <w:tcW w:w="1639" w:type="dxa"/>
            <w:tcBorders/>
            <w:shd w:fill="auto" w:val="clear"/>
            <w:vAlign w:val="bottom"/>
          </w:tcPr>
          <w:p>
            <w:pPr>
              <w:pStyle w:val="Normal"/>
              <w:ind w:firstLine="400"/>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60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270" w:hRule="atLeast"/>
        </w:trPr>
        <w:tc>
          <w:tcPr>
            <w:tcW w:w="4180" w:type="dxa"/>
            <w:tcBorders/>
            <w:shd w:fill="auto" w:val="clear"/>
            <w:vAlign w:val="center"/>
          </w:tcPr>
          <w:p>
            <w:pPr>
              <w:pStyle w:val="Normal"/>
              <w:ind w:firstLine="360"/>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Вложения в ассоциированные компании</w:t>
            </w:r>
          </w:p>
        </w:tc>
        <w:tc>
          <w:tcPr>
            <w:tcW w:w="2020" w:type="dxa"/>
            <w:tcBorders/>
            <w:shd w:fill="auto" w:val="clear"/>
            <w:vAlign w:val="bottom"/>
          </w:tcPr>
          <w:p>
            <w:pPr>
              <w:pStyle w:val="Normal"/>
              <w:jc w:val="right"/>
              <w:rPr>
                <w:rFonts w:ascii="Cambria" w:hAnsi="Cambria" w:eastAsia="Times New Roman"/>
                <w:sz w:val="18"/>
                <w:szCs w:val="18"/>
                <w:lang w:bidi="ar-SA"/>
              </w:rPr>
            </w:pPr>
            <w:r>
              <w:rPr>
                <w:rFonts w:eastAsia="Times New Roman" w:ascii="Cambria" w:hAnsi="Cambria"/>
                <w:sz w:val="18"/>
                <w:szCs w:val="18"/>
                <w:lang w:bidi="ar-SA"/>
              </w:rPr>
              <w:t>363 618</w:t>
            </w:r>
          </w:p>
        </w:tc>
        <w:tc>
          <w:tcPr>
            <w:tcW w:w="1639" w:type="dxa"/>
            <w:tcBorders/>
            <w:shd w:fill="auto" w:val="clear"/>
            <w:vAlign w:val="bottom"/>
          </w:tcPr>
          <w:p>
            <w:pPr>
              <w:pStyle w:val="Normal"/>
              <w:jc w:val="right"/>
              <w:rPr>
                <w:rFonts w:ascii="Cambria" w:hAnsi="Cambria" w:eastAsia="Times New Roman"/>
                <w:sz w:val="18"/>
                <w:szCs w:val="18"/>
                <w:lang w:bidi="ar-SA"/>
              </w:rPr>
            </w:pPr>
            <w:r>
              <w:rPr>
                <w:rFonts w:eastAsia="Times New Roman" w:ascii="Cambria" w:hAnsi="Cambria"/>
                <w:sz w:val="18"/>
                <w:szCs w:val="18"/>
                <w:lang w:bidi="ar-SA"/>
              </w:rPr>
              <w:t>369 084</w:t>
            </w:r>
          </w:p>
        </w:tc>
        <w:tc>
          <w:tcPr>
            <w:tcW w:w="1600" w:type="dxa"/>
            <w:tcBorders/>
            <w:shd w:fill="auto" w:val="clear"/>
            <w:vAlign w:val="bottom"/>
          </w:tcPr>
          <w:p>
            <w:pPr>
              <w:pStyle w:val="Normal"/>
              <w:jc w:val="right"/>
              <w:rPr>
                <w:rFonts w:ascii="Cambria" w:hAnsi="Cambria" w:eastAsia="Times New Roman"/>
                <w:sz w:val="18"/>
                <w:szCs w:val="18"/>
                <w:lang w:bidi="ar-SA"/>
              </w:rPr>
            </w:pPr>
            <w:r>
              <w:rPr>
                <w:rFonts w:eastAsia="Times New Roman" w:ascii="Cambria" w:hAnsi="Cambria"/>
                <w:sz w:val="18"/>
                <w:szCs w:val="18"/>
                <w:lang w:bidi="ar-SA"/>
              </w:rPr>
              <w:t>367 060</w:t>
            </w:r>
          </w:p>
        </w:tc>
      </w:tr>
      <w:tr>
        <w:trPr>
          <w:trHeight w:val="285" w:hRule="atLeast"/>
        </w:trPr>
        <w:tc>
          <w:tcPr>
            <w:tcW w:w="418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20" w:type="dxa"/>
            <w:tcBorders>
              <w:top w:val="single" w:sz="8"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363 618</w:t>
            </w:r>
          </w:p>
        </w:tc>
        <w:tc>
          <w:tcPr>
            <w:tcW w:w="1639" w:type="dxa"/>
            <w:tcBorders>
              <w:top w:val="single" w:sz="8"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369 084</w:t>
            </w:r>
          </w:p>
        </w:tc>
        <w:tc>
          <w:tcPr>
            <w:tcW w:w="1600" w:type="dxa"/>
            <w:tcBorders>
              <w:top w:val="single" w:sz="8" w:space="0" w:color="000000"/>
              <w:bottom w:val="single" w:sz="8" w:space="0" w:color="000000"/>
              <w:insideH w:val="single" w:sz="8"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367 060</w:t>
            </w:r>
          </w:p>
        </w:tc>
      </w:tr>
      <w:tr>
        <w:trPr>
          <w:trHeight w:val="285" w:hRule="atLeast"/>
        </w:trPr>
        <w:tc>
          <w:tcPr>
            <w:tcW w:w="418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2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163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160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r>
    </w:tbl>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t xml:space="preserve">Вложения в ассоциированную компанию учитывается долевым методом. </w:t>
      </w:r>
    </w:p>
    <w:p>
      <w:pPr>
        <w:pStyle w:val="Normal"/>
        <w:spacing w:before="120" w:after="120"/>
        <w:ind w:right="134" w:hanging="0"/>
        <w:jc w:val="both"/>
        <w:rPr>
          <w:rFonts w:eastAsia="Times New Roman"/>
          <w:sz w:val="20"/>
          <w:szCs w:val="20"/>
          <w:lang w:eastAsia="en-US" w:bidi="ar-SA"/>
        </w:rPr>
      </w:pPr>
      <w:r>
        <w:rPr>
          <w:rFonts w:eastAsia="Times New Roman"/>
          <w:sz w:val="20"/>
          <w:szCs w:val="20"/>
          <w:lang w:eastAsia="en-US" w:bidi="ar-SA"/>
        </w:rPr>
      </w:r>
    </w:p>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r>
    </w:p>
    <w:tbl>
      <w:tblPr>
        <w:tblW w:w="9440" w:type="dxa"/>
        <w:jc w:val="left"/>
        <w:tblInd w:w="0" w:type="dxa"/>
        <w:tblBorders/>
        <w:tblCellMar>
          <w:top w:w="0" w:type="dxa"/>
          <w:left w:w="0" w:type="dxa"/>
          <w:bottom w:w="0" w:type="dxa"/>
          <w:right w:w="0" w:type="dxa"/>
        </w:tblCellMar>
        <w:tblLook w:firstRow="1" w:noVBand="1" w:lastRow="0" w:firstColumn="1" w:lastColumn="0" w:noHBand="0" w:val="04a0"/>
      </w:tblPr>
      <w:tblGrid>
        <w:gridCol w:w="4180"/>
        <w:gridCol w:w="2020"/>
        <w:gridCol w:w="1639"/>
        <w:gridCol w:w="1600"/>
      </w:tblGrid>
      <w:tr>
        <w:trPr>
          <w:trHeight w:val="270" w:hRule="atLeast"/>
        </w:trPr>
        <w:tc>
          <w:tcPr>
            <w:tcW w:w="4180" w:type="dxa"/>
            <w:vMerge w:val="restart"/>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2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Доля</w:t>
            </w:r>
          </w:p>
        </w:tc>
        <w:tc>
          <w:tcPr>
            <w:tcW w:w="163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Место нахождения</w:t>
            </w:r>
          </w:p>
        </w:tc>
        <w:tc>
          <w:tcPr>
            <w:tcW w:w="160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 xml:space="preserve">Балансовая стоимость </w:t>
            </w:r>
          </w:p>
        </w:tc>
      </w:tr>
      <w:tr>
        <w:trPr>
          <w:trHeight w:val="285" w:hRule="atLeast"/>
        </w:trPr>
        <w:tc>
          <w:tcPr>
            <w:tcW w:w="418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2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владения %</w:t>
            </w:r>
          </w:p>
        </w:tc>
        <w:tc>
          <w:tcPr>
            <w:tcW w:w="163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160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инвестиции</w:t>
            </w:r>
          </w:p>
        </w:tc>
      </w:tr>
      <w:tr>
        <w:trPr>
          <w:trHeight w:val="315" w:hRule="atLeast"/>
        </w:trPr>
        <w:tc>
          <w:tcPr>
            <w:tcW w:w="4180" w:type="dxa"/>
            <w:tcBorders/>
            <w:shd w:fill="auto" w:val="clear"/>
            <w:vAlign w:val="center"/>
          </w:tcPr>
          <w:p>
            <w:pPr>
              <w:pStyle w:val="Normal"/>
              <w:ind w:firstLine="361"/>
              <w:rPr>
                <w:rFonts w:ascii="Cambria" w:hAnsi="Cambria" w:eastAsia="Times New Roman" w:cs="Calibri"/>
                <w:b/>
                <w:b/>
                <w:bCs/>
                <w:i/>
                <w:i/>
                <w:iCs/>
                <w:color w:val="000000"/>
                <w:sz w:val="18"/>
                <w:szCs w:val="18"/>
                <w:lang w:bidi="ar-SA"/>
              </w:rPr>
            </w:pPr>
            <w:r>
              <w:rPr>
                <w:rFonts w:eastAsia="Times New Roman" w:cs="Calibri" w:ascii="Cambria" w:hAnsi="Cambria"/>
                <w:b/>
                <w:bCs/>
                <w:i/>
                <w:iCs/>
                <w:color w:val="000000"/>
                <w:sz w:val="18"/>
                <w:szCs w:val="18"/>
                <w:lang w:bidi="ar-SA"/>
              </w:rPr>
              <w:t>Компания  АО «Солнечногорский электромеханический завод»</w:t>
            </w:r>
          </w:p>
        </w:tc>
        <w:tc>
          <w:tcPr>
            <w:tcW w:w="2020" w:type="dxa"/>
            <w:tcBorders/>
            <w:shd w:fill="auto" w:val="clear"/>
            <w:vAlign w:val="center"/>
          </w:tcPr>
          <w:p>
            <w:pPr>
              <w:pStyle w:val="Normal"/>
              <w:ind w:firstLine="360"/>
              <w:jc w:val="center"/>
              <w:rPr>
                <w:rFonts w:ascii="Cambria" w:hAnsi="Cambria" w:eastAsia="Times New Roman" w:cs="Calibri"/>
                <w:bCs/>
                <w:i/>
                <w:i/>
                <w:iCs/>
                <w:color w:val="000000"/>
                <w:sz w:val="18"/>
                <w:szCs w:val="18"/>
                <w:lang w:bidi="ar-SA"/>
              </w:rPr>
            </w:pPr>
            <w:r>
              <w:rPr>
                <w:rFonts w:eastAsia="Times New Roman" w:cs="Calibri" w:ascii="Cambria" w:hAnsi="Cambria"/>
                <w:bCs/>
                <w:i/>
                <w:iCs/>
                <w:color w:val="000000"/>
                <w:sz w:val="18"/>
                <w:szCs w:val="18"/>
                <w:lang w:bidi="ar-SA"/>
              </w:rPr>
              <w:t>48,66%</w:t>
            </w:r>
          </w:p>
        </w:tc>
        <w:tc>
          <w:tcPr>
            <w:tcW w:w="1639"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t>РФ</w:t>
            </w:r>
          </w:p>
        </w:tc>
        <w:tc>
          <w:tcPr>
            <w:tcW w:w="1600"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t>7 300</w:t>
            </w:r>
          </w:p>
        </w:tc>
      </w:tr>
    </w:tbl>
    <w:p>
      <w:pPr>
        <w:pStyle w:val="Normal"/>
        <w:spacing w:before="120" w:after="120"/>
        <w:ind w:right="134" w:hanging="0"/>
        <w:jc w:val="both"/>
        <w:rPr>
          <w:rFonts w:ascii="Cambria" w:hAnsi="Cambria" w:eastAsia="Times New Roman"/>
          <w:sz w:val="20"/>
          <w:szCs w:val="20"/>
          <w:lang w:eastAsia="en-US" w:bidi="ar-SA"/>
        </w:rPr>
      </w:pPr>
      <w:r>
        <w:rPr>
          <w:rFonts w:eastAsia="Times New Roman" w:ascii="Cambria" w:hAnsi="Cambria"/>
          <w:sz w:val="20"/>
          <w:szCs w:val="20"/>
          <w:lang w:eastAsia="en-US" w:bidi="ar-SA"/>
        </w:rPr>
      </w:r>
    </w:p>
    <w:p>
      <w:pPr>
        <w:pStyle w:val="ListParagraph"/>
        <w:keepLines/>
        <w:numPr>
          <w:ilvl w:val="0"/>
          <w:numId w:val="6"/>
        </w:numPr>
        <w:spacing w:before="120" w:after="120"/>
        <w:ind w:left="720" w:right="136" w:hanging="360"/>
        <w:contextualSpacing/>
        <w:outlineLvl w:val="0"/>
        <w:rPr>
          <w:rFonts w:ascii="Cambria" w:hAnsi="Cambria" w:eastAsia="Times New Roman" w:cs="Arial"/>
          <w:b/>
          <w:b/>
          <w:bCs/>
          <w:kern w:val="2"/>
          <w:szCs w:val="20"/>
        </w:rPr>
      </w:pPr>
      <w:r>
        <w:rPr>
          <w:rFonts w:eastAsia="Times New Roman" w:cs="Arial" w:ascii="Cambria" w:hAnsi="Cambria"/>
          <w:b/>
          <w:bCs/>
          <w:kern w:val="2"/>
          <w:szCs w:val="20"/>
        </w:rPr>
        <w:t>Запасы</w:t>
      </w:r>
    </w:p>
    <w:tbl>
      <w:tblPr>
        <w:tblW w:w="8400" w:type="dxa"/>
        <w:jc w:val="left"/>
        <w:tblInd w:w="1" w:type="dxa"/>
        <w:tblBorders/>
        <w:tblCellMar>
          <w:top w:w="0" w:type="dxa"/>
          <w:left w:w="108" w:type="dxa"/>
          <w:bottom w:w="0" w:type="dxa"/>
          <w:right w:w="108" w:type="dxa"/>
        </w:tblCellMar>
        <w:tblLook w:firstRow="1" w:noVBand="1" w:lastRow="0" w:firstColumn="1" w:lastColumn="0" w:noHBand="0" w:val="04a0"/>
      </w:tblPr>
      <w:tblGrid>
        <w:gridCol w:w="2660"/>
        <w:gridCol w:w="2060"/>
        <w:gridCol w:w="1900"/>
        <w:gridCol w:w="1779"/>
      </w:tblGrid>
      <w:tr>
        <w:trPr>
          <w:trHeight w:val="270" w:hRule="atLeast"/>
        </w:trPr>
        <w:tc>
          <w:tcPr>
            <w:tcW w:w="2660" w:type="dxa"/>
            <w:vMerge w:val="restart"/>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6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90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77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01 января</w:t>
            </w:r>
          </w:p>
        </w:tc>
      </w:tr>
      <w:tr>
        <w:trPr>
          <w:trHeight w:val="285" w:hRule="atLeast"/>
        </w:trPr>
        <w:tc>
          <w:tcPr>
            <w:tcW w:w="266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2018 года</w:t>
            </w:r>
          </w:p>
        </w:tc>
        <w:tc>
          <w:tcPr>
            <w:tcW w:w="190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c>
          <w:tcPr>
            <w:tcW w:w="177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r>
      <w:tr>
        <w:trPr>
          <w:trHeight w:val="270" w:hRule="exact"/>
        </w:trPr>
        <w:tc>
          <w:tcPr>
            <w:tcW w:w="266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2060" w:type="dxa"/>
            <w:tcBorders/>
            <w:shd w:fill="auto" w:val="clear"/>
            <w:vAlign w:val="center"/>
          </w:tcPr>
          <w:p>
            <w:pPr>
              <w:pStyle w:val="Normal"/>
              <w:ind w:firstLine="400"/>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900"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779" w:type="dxa"/>
            <w:tcBorders/>
            <w:shd w:fill="auto" w:val="clear"/>
            <w:vAlign w:val="bottom"/>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480" w:hRule="atLeast"/>
        </w:trPr>
        <w:tc>
          <w:tcPr>
            <w:tcW w:w="2660" w:type="dxa"/>
            <w:tcBorders/>
            <w:shd w:fill="auto" w:val="clear"/>
            <w:vAlign w:val="center"/>
          </w:tcPr>
          <w:p>
            <w:pPr>
              <w:pStyle w:val="Normal"/>
              <w:ind w:firstLine="360"/>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Незавершенное производство</w:t>
            </w:r>
          </w:p>
        </w:tc>
        <w:tc>
          <w:tcPr>
            <w:tcW w:w="206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1 030 390 </w:t>
            </w:r>
          </w:p>
        </w:tc>
        <w:tc>
          <w:tcPr>
            <w:tcW w:w="190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1 083 807 </w:t>
            </w:r>
          </w:p>
        </w:tc>
        <w:tc>
          <w:tcPr>
            <w:tcW w:w="1779" w:type="dxa"/>
            <w:tcBorders/>
            <w:shd w:fill="auto" w:val="clear"/>
            <w:vAlign w:val="center"/>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 xml:space="preserve">                      </w:t>
            </w:r>
            <w:r>
              <w:rPr>
                <w:rFonts w:eastAsia="Times New Roman" w:cs="Calibri" w:ascii="Cambria" w:hAnsi="Cambria"/>
                <w:color w:val="000000"/>
                <w:sz w:val="18"/>
                <w:szCs w:val="18"/>
                <w:lang w:bidi="ar-SA"/>
              </w:rPr>
              <w:t xml:space="preserve">850 877 </w:t>
            </w:r>
          </w:p>
        </w:tc>
      </w:tr>
      <w:tr>
        <w:trPr>
          <w:trHeight w:val="270" w:hRule="atLeast"/>
        </w:trPr>
        <w:tc>
          <w:tcPr>
            <w:tcW w:w="2660" w:type="dxa"/>
            <w:tcBorders/>
            <w:shd w:fill="auto" w:val="clear"/>
            <w:vAlign w:val="center"/>
          </w:tcPr>
          <w:p>
            <w:pPr>
              <w:pStyle w:val="Normal"/>
              <w:ind w:firstLine="360"/>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Сырье и материалы</w:t>
            </w:r>
          </w:p>
        </w:tc>
        <w:tc>
          <w:tcPr>
            <w:tcW w:w="206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106 746 </w:t>
            </w:r>
          </w:p>
        </w:tc>
        <w:tc>
          <w:tcPr>
            <w:tcW w:w="190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189 675 </w:t>
            </w:r>
          </w:p>
        </w:tc>
        <w:tc>
          <w:tcPr>
            <w:tcW w:w="1779" w:type="dxa"/>
            <w:tcBorders/>
            <w:shd w:fill="auto" w:val="clear"/>
            <w:vAlign w:val="center"/>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 xml:space="preserve">                      </w:t>
            </w:r>
            <w:r>
              <w:rPr>
                <w:rFonts w:eastAsia="Times New Roman" w:cs="Calibri" w:ascii="Cambria" w:hAnsi="Cambria"/>
                <w:color w:val="000000"/>
                <w:sz w:val="18"/>
                <w:szCs w:val="18"/>
                <w:lang w:bidi="ar-SA"/>
              </w:rPr>
              <w:t xml:space="preserve">212 966 </w:t>
            </w:r>
          </w:p>
        </w:tc>
      </w:tr>
      <w:tr>
        <w:trPr>
          <w:trHeight w:val="270" w:hRule="atLeast"/>
        </w:trPr>
        <w:tc>
          <w:tcPr>
            <w:tcW w:w="2660" w:type="dxa"/>
            <w:tcBorders/>
            <w:shd w:fill="auto" w:val="clear"/>
            <w:vAlign w:val="center"/>
          </w:tcPr>
          <w:p>
            <w:pPr>
              <w:pStyle w:val="Normal"/>
              <w:ind w:firstLine="360"/>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Прочие запасы</w:t>
            </w:r>
          </w:p>
        </w:tc>
        <w:tc>
          <w:tcPr>
            <w:tcW w:w="206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146 755 </w:t>
            </w:r>
          </w:p>
        </w:tc>
        <w:tc>
          <w:tcPr>
            <w:tcW w:w="190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4 334 </w:t>
            </w:r>
          </w:p>
        </w:tc>
        <w:tc>
          <w:tcPr>
            <w:tcW w:w="1779" w:type="dxa"/>
            <w:tcBorders/>
            <w:shd w:fill="auto" w:val="clear"/>
            <w:vAlign w:val="center"/>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 xml:space="preserve">                          </w:t>
            </w:r>
            <w:r>
              <w:rPr>
                <w:rFonts w:eastAsia="Times New Roman" w:cs="Calibri" w:ascii="Cambria" w:hAnsi="Cambria"/>
                <w:color w:val="000000"/>
                <w:sz w:val="18"/>
                <w:szCs w:val="18"/>
                <w:lang w:bidi="ar-SA"/>
              </w:rPr>
              <w:t xml:space="preserve">7 409 </w:t>
            </w:r>
          </w:p>
        </w:tc>
      </w:tr>
      <w:tr>
        <w:trPr>
          <w:trHeight w:val="285" w:hRule="atLeast"/>
        </w:trPr>
        <w:tc>
          <w:tcPr>
            <w:tcW w:w="2660" w:type="dxa"/>
            <w:tcBorders/>
            <w:shd w:fill="auto" w:val="clear"/>
            <w:vAlign w:val="center"/>
          </w:tcPr>
          <w:p>
            <w:pPr>
              <w:pStyle w:val="Normal"/>
              <w:ind w:firstLine="360"/>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Резерв на обесценение</w:t>
            </w:r>
          </w:p>
        </w:tc>
        <w:tc>
          <w:tcPr>
            <w:tcW w:w="206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(50 549)</w:t>
            </w:r>
          </w:p>
        </w:tc>
        <w:tc>
          <w:tcPr>
            <w:tcW w:w="190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(45 969)</w:t>
            </w:r>
          </w:p>
        </w:tc>
        <w:tc>
          <w:tcPr>
            <w:tcW w:w="1779" w:type="dxa"/>
            <w:tcBorders/>
            <w:shd w:fill="auto" w:val="clear"/>
            <w:vAlign w:val="center"/>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 xml:space="preserve">                      </w:t>
            </w:r>
            <w:r>
              <w:rPr>
                <w:rFonts w:eastAsia="Times New Roman" w:cs="Calibri" w:ascii="Cambria" w:hAnsi="Cambria"/>
                <w:color w:val="000000"/>
                <w:sz w:val="18"/>
                <w:szCs w:val="18"/>
                <w:lang w:bidi="ar-SA"/>
              </w:rPr>
              <w:t>(45 969)</w:t>
            </w:r>
          </w:p>
        </w:tc>
      </w:tr>
      <w:tr>
        <w:trPr>
          <w:trHeight w:val="285" w:hRule="atLeast"/>
        </w:trPr>
        <w:tc>
          <w:tcPr>
            <w:tcW w:w="2660" w:type="dxa"/>
            <w:tcBorders/>
            <w:shd w:fill="auto" w:val="clear"/>
            <w:vAlign w:val="center"/>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0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cs="Calibri" w:ascii="Cambria" w:hAnsi="Cambria"/>
                <w:b/>
                <w:bCs/>
                <w:color w:val="000000"/>
                <w:sz w:val="18"/>
                <w:szCs w:val="18"/>
              </w:rPr>
              <w:t>1 233 342</w:t>
            </w:r>
          </w:p>
        </w:tc>
        <w:tc>
          <w:tcPr>
            <w:tcW w:w="190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cs="Calibri" w:ascii="Cambria" w:hAnsi="Cambria"/>
                <w:b/>
                <w:bCs/>
                <w:color w:val="000000"/>
                <w:sz w:val="18"/>
                <w:szCs w:val="18"/>
              </w:rPr>
              <w:t>1 231 847</w:t>
            </w:r>
          </w:p>
        </w:tc>
        <w:tc>
          <w:tcPr>
            <w:tcW w:w="177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1 025 283</w:t>
            </w:r>
          </w:p>
        </w:tc>
      </w:tr>
    </w:tbl>
    <w:p>
      <w:pPr>
        <w:pStyle w:val="Style23"/>
        <w:spacing w:before="0" w:after="0"/>
        <w:rPr>
          <w:sz w:val="20"/>
          <w:lang w:val="ru-RU"/>
        </w:rPr>
      </w:pPr>
      <w:r>
        <w:rPr>
          <w:sz w:val="20"/>
          <w:lang w:val="ru-RU"/>
        </w:rPr>
        <w:t>Движение резерва представлено ниже:</w:t>
      </w:r>
    </w:p>
    <w:p>
      <w:pPr>
        <w:pStyle w:val="Style23"/>
        <w:spacing w:before="0" w:after="0"/>
        <w:rPr>
          <w:sz w:val="20"/>
          <w:lang w:val="ru-RU"/>
        </w:rPr>
      </w:pPr>
      <w:r>
        <w:rPr>
          <w:sz w:val="20"/>
          <w:lang w:val="ru-RU"/>
        </w:rPr>
      </w:r>
    </w:p>
    <w:tbl>
      <w:tblPr>
        <w:tblW w:w="9639" w:type="dxa"/>
        <w:jc w:val="left"/>
        <w:tblInd w:w="-108" w:type="dxa"/>
        <w:tblBorders/>
        <w:tblCellMar>
          <w:top w:w="0" w:type="dxa"/>
          <w:left w:w="108" w:type="dxa"/>
          <w:bottom w:w="0" w:type="dxa"/>
          <w:right w:w="108" w:type="dxa"/>
        </w:tblCellMar>
        <w:tblLook w:firstRow="1" w:noVBand="1" w:lastRow="0" w:firstColumn="1" w:lastColumn="0" w:noHBand="0" w:val="04a0"/>
      </w:tblPr>
      <w:tblGrid>
        <w:gridCol w:w="5711"/>
        <w:gridCol w:w="1963"/>
        <w:gridCol w:w="1965"/>
      </w:tblGrid>
      <w:tr>
        <w:trPr>
          <w:trHeight w:val="283" w:hRule="atLeast"/>
        </w:trPr>
        <w:tc>
          <w:tcPr>
            <w:tcW w:w="5711" w:type="dxa"/>
            <w:tcBorders/>
            <w:shd w:fill="auto" w:val="clear"/>
          </w:tcPr>
          <w:p>
            <w:pPr>
              <w:pStyle w:val="Normal"/>
              <w:jc w:val="center"/>
              <w:rPr>
                <w:sz w:val="20"/>
                <w:szCs w:val="20"/>
              </w:rPr>
            </w:pPr>
            <w:r>
              <w:rPr>
                <w:sz w:val="20"/>
                <w:szCs w:val="20"/>
              </w:rPr>
            </w:r>
          </w:p>
        </w:tc>
        <w:tc>
          <w:tcPr>
            <w:tcW w:w="1963" w:type="dxa"/>
            <w:tcBorders>
              <w:bottom w:val="single" w:sz="8" w:space="0" w:color="000000"/>
              <w:insideH w:val="single" w:sz="8" w:space="0" w:color="000000"/>
            </w:tcBorders>
            <w:shd w:fill="auto" w:val="clear"/>
          </w:tcPr>
          <w:p>
            <w:pPr>
              <w:pStyle w:val="Normal"/>
              <w:jc w:val="center"/>
              <w:rPr>
                <w:b/>
                <w:b/>
                <w:bCs/>
                <w:color w:val="000000"/>
                <w:sz w:val="20"/>
                <w:szCs w:val="20"/>
              </w:rPr>
            </w:pPr>
            <w:r>
              <w:rPr>
                <w:b/>
                <w:bCs/>
                <w:color w:val="000000"/>
                <w:sz w:val="20"/>
                <w:szCs w:val="20"/>
              </w:rPr>
              <w:t>2018 г.</w:t>
            </w:r>
          </w:p>
        </w:tc>
        <w:tc>
          <w:tcPr>
            <w:tcW w:w="1965" w:type="dxa"/>
            <w:tcBorders>
              <w:bottom w:val="single" w:sz="8" w:space="0" w:color="000000"/>
              <w:insideH w:val="single" w:sz="8" w:space="0" w:color="000000"/>
            </w:tcBorders>
            <w:shd w:fill="auto" w:val="clear"/>
          </w:tcPr>
          <w:p>
            <w:pPr>
              <w:pStyle w:val="Normal"/>
              <w:jc w:val="center"/>
              <w:rPr>
                <w:b/>
                <w:b/>
                <w:bCs/>
                <w:color w:val="000000"/>
                <w:sz w:val="20"/>
                <w:szCs w:val="20"/>
              </w:rPr>
            </w:pPr>
            <w:r>
              <w:rPr>
                <w:b/>
                <w:bCs/>
                <w:color w:val="000000"/>
                <w:sz w:val="20"/>
                <w:szCs w:val="20"/>
              </w:rPr>
              <w:t>2017 г.</w:t>
            </w:r>
          </w:p>
        </w:tc>
      </w:tr>
      <w:tr>
        <w:trPr>
          <w:trHeight w:val="283" w:hRule="atLeast"/>
        </w:trPr>
        <w:tc>
          <w:tcPr>
            <w:tcW w:w="5711" w:type="dxa"/>
            <w:tcBorders/>
            <w:shd w:fill="auto" w:val="clear"/>
          </w:tcPr>
          <w:p>
            <w:pPr>
              <w:pStyle w:val="Normal"/>
              <w:ind w:firstLine="361"/>
              <w:jc w:val="both"/>
              <w:rPr>
                <w:b/>
                <w:b/>
                <w:bCs/>
                <w:color w:val="000000"/>
                <w:sz w:val="20"/>
                <w:szCs w:val="20"/>
              </w:rPr>
            </w:pPr>
            <w:r>
              <w:rPr>
                <w:rFonts w:eastAsia="Times New Roman" w:cs="Calibri" w:ascii="Cambria" w:hAnsi="Cambria"/>
                <w:b/>
                <w:color w:val="000000"/>
                <w:sz w:val="18"/>
                <w:szCs w:val="18"/>
                <w:lang w:bidi="ar-SA"/>
              </w:rPr>
              <w:t>На 1 января</w:t>
            </w:r>
          </w:p>
        </w:tc>
        <w:tc>
          <w:tcPr>
            <w:tcW w:w="1963" w:type="dxa"/>
            <w:tcBorders/>
            <w:shd w:fill="auto" w:val="clear"/>
          </w:tcPr>
          <w:p>
            <w:pPr>
              <w:pStyle w:val="Normal"/>
              <w:jc w:val="right"/>
              <w:rPr>
                <w:rFonts w:ascii="Cambria" w:hAnsi="Cambria" w:cs="Calibri"/>
                <w:b/>
                <w:b/>
                <w:color w:val="000000"/>
                <w:sz w:val="18"/>
                <w:szCs w:val="18"/>
              </w:rPr>
            </w:pPr>
            <w:r>
              <w:rPr>
                <w:rFonts w:cs="Calibri" w:ascii="Cambria" w:hAnsi="Cambria"/>
                <w:b/>
                <w:color w:val="000000"/>
                <w:sz w:val="18"/>
                <w:szCs w:val="18"/>
              </w:rPr>
              <w:t>45 969</w:t>
            </w:r>
          </w:p>
        </w:tc>
        <w:tc>
          <w:tcPr>
            <w:tcW w:w="1965" w:type="dxa"/>
            <w:tcBorders/>
            <w:shd w:fill="auto" w:val="clear"/>
          </w:tcPr>
          <w:p>
            <w:pPr>
              <w:pStyle w:val="Normal"/>
              <w:jc w:val="right"/>
              <w:rPr>
                <w:rFonts w:ascii="Cambria" w:hAnsi="Cambria" w:cs="Calibri"/>
                <w:b/>
                <w:b/>
                <w:color w:val="000000"/>
                <w:sz w:val="18"/>
                <w:szCs w:val="18"/>
              </w:rPr>
            </w:pPr>
            <w:r>
              <w:rPr>
                <w:rFonts w:cs="Calibri" w:ascii="Cambria" w:hAnsi="Cambria"/>
                <w:b/>
                <w:color w:val="000000"/>
                <w:sz w:val="18"/>
                <w:szCs w:val="18"/>
              </w:rPr>
              <w:t>45 969</w:t>
            </w:r>
          </w:p>
        </w:tc>
      </w:tr>
      <w:tr>
        <w:trPr>
          <w:trHeight w:val="283" w:hRule="atLeast"/>
        </w:trPr>
        <w:tc>
          <w:tcPr>
            <w:tcW w:w="5711" w:type="dxa"/>
            <w:tcBorders/>
            <w:shd w:fill="auto" w:val="clear"/>
          </w:tcPr>
          <w:p>
            <w:pPr>
              <w:pStyle w:val="Normal"/>
              <w:ind w:firstLine="360"/>
              <w:rPr>
                <w:color w:val="000000"/>
                <w:sz w:val="20"/>
                <w:szCs w:val="20"/>
              </w:rPr>
            </w:pPr>
            <w:r>
              <w:rPr>
                <w:rFonts w:eastAsia="Times New Roman" w:cs="Calibri" w:ascii="Cambria" w:hAnsi="Cambria"/>
                <w:color w:val="000000"/>
                <w:sz w:val="18"/>
                <w:szCs w:val="18"/>
                <w:lang w:bidi="ar-SA"/>
              </w:rPr>
              <w:t>Начислено</w:t>
            </w:r>
          </w:p>
        </w:tc>
        <w:tc>
          <w:tcPr>
            <w:tcW w:w="1963" w:type="dxa"/>
            <w:tcBorders/>
            <w:shd w:fill="auto" w:val="clear"/>
          </w:tcPr>
          <w:p>
            <w:pPr>
              <w:pStyle w:val="Normal"/>
              <w:jc w:val="right"/>
              <w:rPr>
                <w:rFonts w:ascii="Cambria" w:hAnsi="Cambria" w:cs="Calibri"/>
                <w:color w:val="000000"/>
                <w:sz w:val="18"/>
                <w:szCs w:val="18"/>
              </w:rPr>
            </w:pPr>
            <w:r>
              <w:rPr>
                <w:rFonts w:cs="Calibri" w:ascii="Cambria" w:hAnsi="Cambria"/>
                <w:color w:val="000000"/>
                <w:sz w:val="18"/>
                <w:szCs w:val="18"/>
              </w:rPr>
              <w:t>4 580</w:t>
            </w:r>
          </w:p>
        </w:tc>
        <w:tc>
          <w:tcPr>
            <w:tcW w:w="1965" w:type="dxa"/>
            <w:tcBorders/>
            <w:shd w:fill="auto" w:val="clear"/>
          </w:tcPr>
          <w:p>
            <w:pPr>
              <w:pStyle w:val="Normal"/>
              <w:jc w:val="right"/>
              <w:rPr>
                <w:rFonts w:ascii="Cambria" w:hAnsi="Cambria" w:cs="Calibri"/>
                <w:color w:val="000000"/>
                <w:sz w:val="18"/>
                <w:szCs w:val="18"/>
              </w:rPr>
            </w:pPr>
            <w:r>
              <w:rPr>
                <w:rFonts w:cs="Calibri" w:ascii="Cambria" w:hAnsi="Cambria"/>
                <w:color w:val="000000"/>
                <w:sz w:val="18"/>
                <w:szCs w:val="18"/>
              </w:rPr>
              <w:t>-</w:t>
            </w:r>
          </w:p>
        </w:tc>
      </w:tr>
      <w:tr>
        <w:trPr>
          <w:trHeight w:val="283" w:hRule="atLeast"/>
        </w:trPr>
        <w:tc>
          <w:tcPr>
            <w:tcW w:w="5711" w:type="dxa"/>
            <w:tcBorders/>
            <w:shd w:fill="auto" w:val="clear"/>
          </w:tcPr>
          <w:p>
            <w:pPr>
              <w:pStyle w:val="Normal"/>
              <w:ind w:firstLine="361"/>
              <w:rPr>
                <w:b/>
                <w:b/>
                <w:bCs/>
                <w:color w:val="000000"/>
                <w:sz w:val="20"/>
                <w:szCs w:val="20"/>
              </w:rPr>
            </w:pPr>
            <w:r>
              <w:rPr>
                <w:rFonts w:eastAsia="Times New Roman" w:cs="Calibri" w:ascii="Cambria" w:hAnsi="Cambria"/>
                <w:b/>
                <w:color w:val="000000"/>
                <w:sz w:val="18"/>
                <w:szCs w:val="18"/>
                <w:lang w:bidi="ar-SA"/>
              </w:rPr>
              <w:t>На 31 декабря</w:t>
            </w:r>
            <w:r>
              <w:rPr>
                <w:b/>
                <w:bCs/>
                <w:color w:val="000000"/>
                <w:sz w:val="20"/>
                <w:szCs w:val="20"/>
              </w:rPr>
              <w:t xml:space="preserve"> </w:t>
            </w:r>
          </w:p>
        </w:tc>
        <w:tc>
          <w:tcPr>
            <w:tcW w:w="1963" w:type="dxa"/>
            <w:tcBorders>
              <w:top w:val="single" w:sz="8" w:space="0" w:color="000000"/>
              <w:bottom w:val="single" w:sz="8" w:space="0" w:color="000000"/>
              <w:insideH w:val="single" w:sz="8" w:space="0" w:color="000000"/>
            </w:tcBorders>
            <w:shd w:fill="auto" w:val="clear"/>
          </w:tcPr>
          <w:p>
            <w:pPr>
              <w:pStyle w:val="Normal"/>
              <w:jc w:val="right"/>
              <w:rPr>
                <w:rFonts w:ascii="Cambria" w:hAnsi="Cambria" w:cs="Calibri"/>
                <w:b/>
                <w:b/>
                <w:color w:val="000000"/>
                <w:sz w:val="18"/>
                <w:szCs w:val="18"/>
              </w:rPr>
            </w:pPr>
            <w:r>
              <w:rPr>
                <w:rFonts w:cs="Calibri" w:ascii="Cambria" w:hAnsi="Cambria"/>
                <w:b/>
                <w:color w:val="000000"/>
                <w:sz w:val="18"/>
                <w:szCs w:val="18"/>
              </w:rPr>
              <w:t>50 549</w:t>
            </w:r>
          </w:p>
        </w:tc>
        <w:tc>
          <w:tcPr>
            <w:tcW w:w="1965" w:type="dxa"/>
            <w:tcBorders>
              <w:top w:val="single" w:sz="8" w:space="0" w:color="000000"/>
              <w:bottom w:val="single" w:sz="8" w:space="0" w:color="000000"/>
              <w:insideH w:val="single" w:sz="8" w:space="0" w:color="000000"/>
            </w:tcBorders>
            <w:shd w:fill="auto" w:val="clear"/>
          </w:tcPr>
          <w:p>
            <w:pPr>
              <w:pStyle w:val="Normal"/>
              <w:jc w:val="right"/>
              <w:rPr>
                <w:rFonts w:ascii="Cambria" w:hAnsi="Cambria" w:cs="Calibri"/>
                <w:b/>
                <w:b/>
                <w:color w:val="000000"/>
                <w:sz w:val="18"/>
                <w:szCs w:val="18"/>
              </w:rPr>
            </w:pPr>
            <w:r>
              <w:rPr>
                <w:rFonts w:cs="Calibri" w:ascii="Cambria" w:hAnsi="Cambria"/>
                <w:b/>
                <w:color w:val="000000"/>
                <w:sz w:val="18"/>
                <w:szCs w:val="18"/>
              </w:rPr>
              <w:t>45 969</w:t>
            </w:r>
          </w:p>
        </w:tc>
      </w:tr>
    </w:tbl>
    <w:p>
      <w:pPr>
        <w:pStyle w:val="ListParagraph"/>
        <w:keepLines/>
        <w:numPr>
          <w:ilvl w:val="0"/>
          <w:numId w:val="0"/>
        </w:numPr>
        <w:spacing w:before="120" w:after="120"/>
        <w:ind w:left="720" w:right="136" w:hanging="0"/>
        <w:contextualSpacing/>
        <w:outlineLvl w:val="0"/>
        <w:rPr>
          <w:rFonts w:ascii="Cambria" w:hAnsi="Cambria" w:eastAsia="Times New Roman" w:cs="Arial"/>
          <w:b/>
          <w:b/>
          <w:bCs/>
          <w:kern w:val="2"/>
          <w:szCs w:val="20"/>
        </w:rPr>
      </w:pPr>
      <w:r>
        <w:rPr>
          <w:rFonts w:eastAsia="Times New Roman" w:cs="Arial" w:ascii="Cambria" w:hAnsi="Cambria"/>
          <w:b/>
          <w:bCs/>
          <w:kern w:val="2"/>
          <w:szCs w:val="20"/>
        </w:rPr>
      </w:r>
    </w:p>
    <w:p>
      <w:pPr>
        <w:pStyle w:val="ListParagraph"/>
        <w:keepLines/>
        <w:numPr>
          <w:ilvl w:val="0"/>
          <w:numId w:val="0"/>
        </w:numPr>
        <w:spacing w:before="120" w:after="120"/>
        <w:ind w:left="720" w:right="136" w:hanging="0"/>
        <w:contextualSpacing/>
        <w:outlineLvl w:val="0"/>
        <w:rPr>
          <w:rFonts w:ascii="Cambria" w:hAnsi="Cambria" w:eastAsia="Times New Roman" w:cs="Arial"/>
          <w:b/>
          <w:b/>
          <w:bCs/>
          <w:kern w:val="2"/>
          <w:szCs w:val="20"/>
        </w:rPr>
      </w:pPr>
      <w:r>
        <w:rPr>
          <w:rFonts w:eastAsia="Times New Roman" w:cs="Arial" w:ascii="Cambria" w:hAnsi="Cambria"/>
          <w:b/>
          <w:bCs/>
          <w:kern w:val="2"/>
          <w:szCs w:val="20"/>
        </w:rPr>
      </w:r>
    </w:p>
    <w:p>
      <w:pPr>
        <w:pStyle w:val="ListParagraph"/>
        <w:keepLines/>
        <w:numPr>
          <w:ilvl w:val="0"/>
          <w:numId w:val="6"/>
        </w:numPr>
        <w:spacing w:before="120" w:after="120"/>
        <w:ind w:left="720" w:right="136" w:hanging="360"/>
        <w:contextualSpacing/>
        <w:outlineLvl w:val="0"/>
        <w:rPr>
          <w:rFonts w:ascii="Cambria" w:hAnsi="Cambria" w:eastAsia="Times New Roman" w:cs="Arial"/>
          <w:b/>
          <w:b/>
          <w:bCs/>
          <w:kern w:val="2"/>
          <w:szCs w:val="20"/>
        </w:rPr>
      </w:pPr>
      <w:r>
        <w:rPr>
          <w:rFonts w:eastAsia="Times New Roman" w:cs="Arial" w:ascii="Cambria" w:hAnsi="Cambria"/>
          <w:b/>
          <w:bCs/>
          <w:kern w:val="2"/>
          <w:szCs w:val="20"/>
        </w:rPr>
        <w:t>ТОРГОВАЯ И ПРОЧАЯ ДЕБИТОРСКАЯ ЗАДОЛЖЕННОСТЬ</w:t>
      </w:r>
    </w:p>
    <w:p>
      <w:pPr>
        <w:pStyle w:val="Normal"/>
        <w:keepLines/>
        <w:numPr>
          <w:ilvl w:val="0"/>
          <w:numId w:val="0"/>
        </w:numPr>
        <w:spacing w:before="120" w:after="120"/>
        <w:ind w:right="136" w:hanging="0"/>
        <w:outlineLvl w:val="0"/>
        <w:rPr>
          <w:rFonts w:ascii="Cambria" w:hAnsi="Cambria" w:eastAsia="Times New Roman" w:cs="Arial"/>
          <w:b/>
          <w:b/>
          <w:bCs/>
          <w:kern w:val="2"/>
          <w:szCs w:val="20"/>
        </w:rPr>
      </w:pPr>
      <w:r>
        <w:rPr>
          <w:rFonts w:eastAsia="Times New Roman" w:cs="Arial" w:ascii="Cambria" w:hAnsi="Cambria"/>
          <w:b/>
          <w:bCs/>
          <w:kern w:val="2"/>
          <w:szCs w:val="20"/>
        </w:rPr>
      </w:r>
    </w:p>
    <w:tbl>
      <w:tblPr>
        <w:tblW w:w="9260" w:type="dxa"/>
        <w:jc w:val="left"/>
        <w:tblInd w:w="1" w:type="dxa"/>
        <w:tblBorders/>
        <w:tblCellMar>
          <w:top w:w="0" w:type="dxa"/>
          <w:left w:w="108" w:type="dxa"/>
          <w:bottom w:w="0" w:type="dxa"/>
          <w:right w:w="108" w:type="dxa"/>
        </w:tblCellMar>
        <w:tblLook w:firstRow="1" w:noVBand="1" w:lastRow="0" w:firstColumn="1" w:lastColumn="0" w:noHBand="0" w:val="04a0"/>
      </w:tblPr>
      <w:tblGrid>
        <w:gridCol w:w="3459"/>
        <w:gridCol w:w="2060"/>
        <w:gridCol w:w="2020"/>
        <w:gridCol w:w="1720"/>
      </w:tblGrid>
      <w:tr>
        <w:trPr>
          <w:trHeight w:val="465" w:hRule="atLeast"/>
        </w:trPr>
        <w:tc>
          <w:tcPr>
            <w:tcW w:w="3459" w:type="dxa"/>
            <w:vMerge w:val="restart"/>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6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202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72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01 января</w:t>
            </w:r>
          </w:p>
        </w:tc>
      </w:tr>
      <w:tr>
        <w:trPr>
          <w:trHeight w:val="300" w:hRule="atLeast"/>
        </w:trPr>
        <w:tc>
          <w:tcPr>
            <w:tcW w:w="3459"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2018 года</w:t>
            </w:r>
          </w:p>
        </w:tc>
        <w:tc>
          <w:tcPr>
            <w:tcW w:w="202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c>
          <w:tcPr>
            <w:tcW w:w="172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r>
      <w:tr>
        <w:trPr>
          <w:trHeight w:val="300" w:hRule="atLeast"/>
        </w:trPr>
        <w:tc>
          <w:tcPr>
            <w:tcW w:w="3459" w:type="dxa"/>
            <w:tcBorders/>
            <w:shd w:fill="auto" w:val="clear"/>
            <w:vAlign w:val="bottom"/>
          </w:tcPr>
          <w:p>
            <w:pPr>
              <w:pStyle w:val="Normal"/>
              <w:ind w:right="134" w:hanging="0"/>
              <w:rPr>
                <w:rFonts w:ascii="Cambria" w:hAnsi="Cambria" w:eastAsia="Times New Roman"/>
                <w:sz w:val="18"/>
                <w:szCs w:val="20"/>
                <w:lang w:bidi="ar-SA"/>
              </w:rPr>
            </w:pPr>
            <w:r>
              <w:rPr>
                <w:rFonts w:eastAsia="Times New Roman" w:ascii="Cambria" w:hAnsi="Cambria"/>
                <w:sz w:val="18"/>
                <w:szCs w:val="20"/>
                <w:lang w:bidi="ar-SA"/>
              </w:rPr>
              <w:t>Дебиторская задолженность</w:t>
            </w:r>
          </w:p>
        </w:tc>
        <w:tc>
          <w:tcPr>
            <w:tcW w:w="206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550 369</w:t>
            </w:r>
          </w:p>
        </w:tc>
        <w:tc>
          <w:tcPr>
            <w:tcW w:w="202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105 342</w:t>
            </w:r>
          </w:p>
        </w:tc>
        <w:tc>
          <w:tcPr>
            <w:tcW w:w="172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182 409</w:t>
            </w:r>
          </w:p>
        </w:tc>
      </w:tr>
      <w:tr>
        <w:trPr>
          <w:trHeight w:val="300" w:hRule="atLeast"/>
        </w:trPr>
        <w:tc>
          <w:tcPr>
            <w:tcW w:w="3459" w:type="dxa"/>
            <w:tcBorders/>
            <w:shd w:fill="auto" w:val="clear"/>
            <w:vAlign w:val="center"/>
          </w:tcPr>
          <w:p>
            <w:pPr>
              <w:pStyle w:val="Normal"/>
              <w:ind w:right="134" w:hanging="0"/>
              <w:rPr>
                <w:rFonts w:ascii="Cambria" w:hAnsi="Cambria" w:eastAsia="Times New Roman"/>
                <w:sz w:val="18"/>
                <w:szCs w:val="20"/>
                <w:lang w:bidi="ar-SA"/>
              </w:rPr>
            </w:pPr>
            <w:r>
              <w:rPr>
                <w:rFonts w:eastAsia="Times New Roman" w:ascii="Cambria" w:hAnsi="Cambria"/>
                <w:sz w:val="18"/>
                <w:szCs w:val="20"/>
                <w:lang w:bidi="ar-SA"/>
              </w:rPr>
              <w:t>Прочая дебиторская задолженность</w:t>
            </w:r>
          </w:p>
        </w:tc>
        <w:tc>
          <w:tcPr>
            <w:tcW w:w="206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1 798</w:t>
            </w:r>
          </w:p>
        </w:tc>
        <w:tc>
          <w:tcPr>
            <w:tcW w:w="202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15 686</w:t>
            </w:r>
          </w:p>
        </w:tc>
        <w:tc>
          <w:tcPr>
            <w:tcW w:w="172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36 692</w:t>
            </w:r>
          </w:p>
        </w:tc>
      </w:tr>
      <w:tr>
        <w:trPr>
          <w:trHeight w:val="300" w:hRule="atLeast"/>
        </w:trPr>
        <w:tc>
          <w:tcPr>
            <w:tcW w:w="3459" w:type="dxa"/>
            <w:tcBorders/>
            <w:shd w:fill="auto" w:val="clear"/>
            <w:vAlign w:val="bottom"/>
          </w:tcPr>
          <w:p>
            <w:pPr>
              <w:pStyle w:val="Normal"/>
              <w:ind w:right="134" w:hanging="0"/>
              <w:rPr>
                <w:rFonts w:ascii="Cambria" w:hAnsi="Cambria" w:eastAsia="Times New Roman"/>
                <w:sz w:val="18"/>
                <w:szCs w:val="20"/>
                <w:lang w:bidi="ar-SA"/>
              </w:rPr>
            </w:pPr>
            <w:r>
              <w:rPr>
                <w:rFonts w:eastAsia="Times New Roman" w:ascii="Cambria" w:hAnsi="Cambria"/>
                <w:sz w:val="18"/>
                <w:szCs w:val="20"/>
                <w:lang w:bidi="ar-SA"/>
              </w:rPr>
              <w:t>Авансы по налогу на прибыль</w:t>
            </w:r>
          </w:p>
        </w:tc>
        <w:tc>
          <w:tcPr>
            <w:tcW w:w="206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45 737</w:t>
            </w:r>
          </w:p>
        </w:tc>
        <w:tc>
          <w:tcPr>
            <w:tcW w:w="202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19 937</w:t>
            </w:r>
          </w:p>
        </w:tc>
        <w:tc>
          <w:tcPr>
            <w:tcW w:w="172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3 022</w:t>
            </w:r>
          </w:p>
        </w:tc>
      </w:tr>
      <w:tr>
        <w:trPr>
          <w:trHeight w:val="300" w:hRule="atLeast"/>
        </w:trPr>
        <w:tc>
          <w:tcPr>
            <w:tcW w:w="3459" w:type="dxa"/>
            <w:tcBorders/>
            <w:shd w:fill="auto" w:val="clear"/>
            <w:vAlign w:val="bottom"/>
          </w:tcPr>
          <w:p>
            <w:pPr>
              <w:pStyle w:val="Normal"/>
              <w:ind w:right="134" w:hanging="0"/>
              <w:rPr>
                <w:rFonts w:ascii="Cambria" w:hAnsi="Cambria" w:eastAsia="Times New Roman"/>
                <w:sz w:val="18"/>
                <w:szCs w:val="20"/>
                <w:lang w:bidi="ar-SA"/>
              </w:rPr>
            </w:pPr>
            <w:r>
              <w:rPr>
                <w:rFonts w:eastAsia="Times New Roman" w:ascii="Cambria" w:hAnsi="Cambria"/>
                <w:sz w:val="18"/>
                <w:szCs w:val="20"/>
                <w:lang w:bidi="ar-SA"/>
              </w:rPr>
              <w:t>НДС к возмещению</w:t>
            </w:r>
          </w:p>
        </w:tc>
        <w:tc>
          <w:tcPr>
            <w:tcW w:w="206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52 237</w:t>
            </w:r>
          </w:p>
        </w:tc>
        <w:tc>
          <w:tcPr>
            <w:tcW w:w="202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67 461</w:t>
            </w:r>
          </w:p>
        </w:tc>
        <w:tc>
          <w:tcPr>
            <w:tcW w:w="1720" w:type="dxa"/>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-2 523</w:t>
            </w:r>
          </w:p>
        </w:tc>
      </w:tr>
      <w:tr>
        <w:trPr>
          <w:trHeight w:val="300" w:hRule="atLeast"/>
        </w:trPr>
        <w:tc>
          <w:tcPr>
            <w:tcW w:w="3459" w:type="dxa"/>
            <w:tcBorders/>
            <w:shd w:fill="auto" w:val="clear"/>
            <w:vAlign w:val="bottom"/>
          </w:tcPr>
          <w:p>
            <w:pPr>
              <w:pStyle w:val="Normal"/>
              <w:ind w:right="134" w:hanging="0"/>
              <w:rPr>
                <w:rFonts w:ascii="Cambria" w:hAnsi="Cambria" w:eastAsia="Times New Roman"/>
                <w:sz w:val="18"/>
                <w:szCs w:val="20"/>
                <w:lang w:bidi="ar-SA"/>
              </w:rPr>
            </w:pPr>
            <w:r>
              <w:rPr>
                <w:rFonts w:eastAsia="Times New Roman" w:ascii="Cambria" w:hAnsi="Cambria"/>
                <w:sz w:val="18"/>
                <w:szCs w:val="20"/>
                <w:lang w:bidi="ar-SA"/>
              </w:rPr>
              <w:t>Прочие налоги к возмещению</w:t>
            </w:r>
          </w:p>
        </w:tc>
        <w:tc>
          <w:tcPr>
            <w:tcW w:w="2060" w:type="dxa"/>
            <w:tcBorders>
              <w:bottom w:val="single" w:sz="4" w:space="0" w:color="000000"/>
              <w:insideH w:val="single" w:sz="4" w:space="0" w:color="000000"/>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2 749</w:t>
            </w:r>
          </w:p>
        </w:tc>
        <w:tc>
          <w:tcPr>
            <w:tcW w:w="2020" w:type="dxa"/>
            <w:tcBorders>
              <w:bottom w:val="single" w:sz="4" w:space="0" w:color="000000"/>
              <w:insideH w:val="single" w:sz="4" w:space="0" w:color="000000"/>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w:t>
            </w:r>
          </w:p>
        </w:tc>
        <w:tc>
          <w:tcPr>
            <w:tcW w:w="1720" w:type="dxa"/>
            <w:tcBorders>
              <w:bottom w:val="single" w:sz="4" w:space="0" w:color="000000"/>
              <w:insideH w:val="single" w:sz="4" w:space="0" w:color="000000"/>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12 913</w:t>
            </w:r>
          </w:p>
        </w:tc>
      </w:tr>
      <w:tr>
        <w:trPr>
          <w:trHeight w:val="300" w:hRule="atLeast"/>
        </w:trPr>
        <w:tc>
          <w:tcPr>
            <w:tcW w:w="3459" w:type="dxa"/>
            <w:tcBorders/>
            <w:shd w:fill="auto" w:val="clear"/>
            <w:vAlign w:val="bottom"/>
          </w:tcPr>
          <w:p>
            <w:pPr>
              <w:pStyle w:val="Normal"/>
              <w:ind w:right="134" w:hanging="0"/>
              <w:rPr>
                <w:rFonts w:ascii="Cambria" w:hAnsi="Cambria" w:eastAsia="Times New Roman"/>
                <w:b/>
                <w:b/>
                <w:sz w:val="18"/>
                <w:szCs w:val="20"/>
                <w:lang w:bidi="ar-SA"/>
              </w:rPr>
            </w:pPr>
            <w:r>
              <w:rPr>
                <w:rFonts w:eastAsia="Times New Roman" w:ascii="Cambria" w:hAnsi="Cambria"/>
                <w:b/>
                <w:sz w:val="18"/>
                <w:szCs w:val="20"/>
                <w:lang w:bidi="ar-SA"/>
              </w:rPr>
              <w:t>Торговая и прочая дебиторская задолженность</w:t>
            </w:r>
          </w:p>
        </w:tc>
        <w:tc>
          <w:tcPr>
            <w:tcW w:w="2060" w:type="dxa"/>
            <w:tcBorders>
              <w:top w:val="single" w:sz="4" w:space="0" w:color="000000"/>
              <w:bottom w:val="single" w:sz="4" w:space="0" w:color="000000"/>
              <w:insideH w:val="single" w:sz="4" w:space="0" w:color="000000"/>
            </w:tcBorders>
            <w:shd w:fill="auto" w:val="clear"/>
            <w:vAlign w:val="bottom"/>
          </w:tcPr>
          <w:p>
            <w:pPr>
              <w:pStyle w:val="Normal"/>
              <w:jc w:val="right"/>
              <w:rPr>
                <w:rFonts w:ascii="Cambria" w:hAnsi="Cambria" w:cs="Calibri"/>
                <w:b/>
                <w:b/>
                <w:color w:val="000000"/>
                <w:sz w:val="18"/>
                <w:szCs w:val="18"/>
              </w:rPr>
            </w:pPr>
            <w:r>
              <w:rPr>
                <w:rFonts w:cs="Calibri" w:ascii="Cambria" w:hAnsi="Cambria"/>
                <w:b/>
                <w:color w:val="000000"/>
                <w:sz w:val="18"/>
                <w:szCs w:val="18"/>
              </w:rPr>
              <w:t>652 890</w:t>
            </w:r>
          </w:p>
        </w:tc>
        <w:tc>
          <w:tcPr>
            <w:tcW w:w="2020" w:type="dxa"/>
            <w:tcBorders>
              <w:top w:val="single" w:sz="4" w:space="0" w:color="000000"/>
              <w:bottom w:val="single" w:sz="4" w:space="0" w:color="000000"/>
              <w:insideH w:val="single" w:sz="4" w:space="0" w:color="000000"/>
            </w:tcBorders>
            <w:shd w:fill="auto" w:val="clear"/>
            <w:vAlign w:val="bottom"/>
          </w:tcPr>
          <w:p>
            <w:pPr>
              <w:pStyle w:val="Normal"/>
              <w:jc w:val="right"/>
              <w:rPr>
                <w:rFonts w:ascii="Cambria" w:hAnsi="Cambria" w:cs="Calibri"/>
                <w:b/>
                <w:b/>
                <w:color w:val="000000"/>
                <w:sz w:val="18"/>
                <w:szCs w:val="18"/>
              </w:rPr>
            </w:pPr>
            <w:r>
              <w:rPr>
                <w:rFonts w:cs="Calibri" w:ascii="Cambria" w:hAnsi="Cambria"/>
                <w:b/>
                <w:color w:val="000000"/>
                <w:sz w:val="18"/>
                <w:szCs w:val="18"/>
              </w:rPr>
              <w:t>208 426</w:t>
            </w:r>
          </w:p>
        </w:tc>
        <w:tc>
          <w:tcPr>
            <w:tcW w:w="1720" w:type="dxa"/>
            <w:tcBorders>
              <w:top w:val="single" w:sz="4" w:space="0" w:color="000000"/>
              <w:bottom w:val="single" w:sz="4" w:space="0" w:color="000000"/>
              <w:insideH w:val="single" w:sz="4" w:space="0" w:color="000000"/>
            </w:tcBorders>
            <w:shd w:fill="auto" w:val="clear"/>
            <w:vAlign w:val="bottom"/>
          </w:tcPr>
          <w:p>
            <w:pPr>
              <w:pStyle w:val="Normal"/>
              <w:jc w:val="right"/>
              <w:rPr>
                <w:rFonts w:ascii="Cambria" w:hAnsi="Cambria" w:cs="Calibri"/>
                <w:b/>
                <w:b/>
                <w:color w:val="000000"/>
                <w:sz w:val="18"/>
                <w:szCs w:val="18"/>
              </w:rPr>
            </w:pPr>
            <w:r>
              <w:rPr>
                <w:rFonts w:cs="Calibri" w:ascii="Cambria" w:hAnsi="Cambria"/>
                <w:b/>
                <w:color w:val="000000"/>
                <w:sz w:val="18"/>
                <w:szCs w:val="18"/>
              </w:rPr>
              <w:t>232 512</w:t>
            </w:r>
          </w:p>
        </w:tc>
      </w:tr>
      <w:tr>
        <w:trPr>
          <w:trHeight w:val="300" w:hRule="atLeast"/>
        </w:trPr>
        <w:tc>
          <w:tcPr>
            <w:tcW w:w="3459" w:type="dxa"/>
            <w:tcBorders/>
            <w:shd w:fill="auto" w:val="clear"/>
            <w:vAlign w:val="center"/>
          </w:tcPr>
          <w:p>
            <w:pPr>
              <w:pStyle w:val="Normal"/>
              <w:ind w:right="134" w:hanging="0"/>
              <w:rPr>
                <w:rFonts w:ascii="Cambria" w:hAnsi="Cambria" w:eastAsia="Times New Roman"/>
                <w:sz w:val="18"/>
                <w:szCs w:val="20"/>
                <w:lang w:bidi="ar-SA"/>
              </w:rPr>
            </w:pPr>
            <w:r>
              <w:rPr>
                <w:rFonts w:eastAsia="Times New Roman" w:ascii="Cambria" w:hAnsi="Cambria"/>
                <w:sz w:val="18"/>
                <w:szCs w:val="20"/>
                <w:lang w:bidi="ar-SA"/>
              </w:rPr>
              <w:t>Резерв под снижение дебиторской задолженности</w:t>
            </w:r>
          </w:p>
        </w:tc>
        <w:tc>
          <w:tcPr>
            <w:tcW w:w="2060" w:type="dxa"/>
            <w:tcBorders>
              <w:top w:val="single" w:sz="4" w:space="0" w:color="000000"/>
            </w:tcBorders>
            <w:shd w:fill="auto" w:val="clear"/>
            <w:vAlign w:val="bottom"/>
          </w:tcPr>
          <w:p>
            <w:pPr>
              <w:pStyle w:val="Normal"/>
              <w:jc w:val="right"/>
              <w:rPr>
                <w:rFonts w:ascii="Cambria" w:hAnsi="Cambria" w:cs="Calibri"/>
                <w:color w:val="000000"/>
                <w:sz w:val="18"/>
                <w:szCs w:val="18"/>
              </w:rPr>
            </w:pPr>
            <w:bookmarkStart w:id="27" w:name="RANGE!C12"/>
            <w:r>
              <w:rPr>
                <w:rFonts w:cs="Calibri" w:ascii="Cambria" w:hAnsi="Cambria"/>
                <w:color w:val="000000"/>
                <w:sz w:val="18"/>
                <w:szCs w:val="18"/>
              </w:rPr>
              <w:t>(12 689)</w:t>
            </w:r>
            <w:bookmarkEnd w:id="27"/>
          </w:p>
        </w:tc>
        <w:tc>
          <w:tcPr>
            <w:tcW w:w="2020" w:type="dxa"/>
            <w:tcBorders>
              <w:top w:val="single" w:sz="4" w:space="0" w:color="000000"/>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(30 161)</w:t>
            </w:r>
          </w:p>
        </w:tc>
        <w:tc>
          <w:tcPr>
            <w:tcW w:w="1720" w:type="dxa"/>
            <w:tcBorders>
              <w:top w:val="single" w:sz="4" w:space="0" w:color="000000"/>
            </w:tcBorders>
            <w:shd w:fill="auto" w:val="clear"/>
            <w:vAlign w:val="bottom"/>
          </w:tcPr>
          <w:p>
            <w:pPr>
              <w:pStyle w:val="Normal"/>
              <w:jc w:val="right"/>
              <w:rPr>
                <w:rFonts w:ascii="Cambria" w:hAnsi="Cambria" w:cs="Calibri"/>
                <w:color w:val="000000"/>
                <w:sz w:val="18"/>
                <w:szCs w:val="18"/>
              </w:rPr>
            </w:pPr>
            <w:r>
              <w:rPr>
                <w:rFonts w:cs="Calibri" w:ascii="Cambria" w:hAnsi="Cambria"/>
                <w:color w:val="000000"/>
                <w:sz w:val="18"/>
                <w:szCs w:val="18"/>
              </w:rPr>
              <w:t>(19 902)</w:t>
            </w:r>
          </w:p>
        </w:tc>
      </w:tr>
      <w:tr>
        <w:trPr>
          <w:trHeight w:val="300" w:hRule="atLeast"/>
        </w:trPr>
        <w:tc>
          <w:tcPr>
            <w:tcW w:w="3459" w:type="dxa"/>
            <w:tcBorders/>
            <w:shd w:fill="auto" w:val="clear"/>
            <w:vAlign w:val="center"/>
          </w:tcPr>
          <w:p>
            <w:pPr>
              <w:pStyle w:val="Normal"/>
              <w:rPr>
                <w:rFonts w:ascii="Cambria" w:hAnsi="Cambria" w:eastAsia="Times New Roman" w:cs="Calibri"/>
                <w:b/>
                <w:b/>
                <w:bCs/>
                <w:color w:val="000000"/>
                <w:sz w:val="18"/>
                <w:szCs w:val="18"/>
                <w:lang w:bidi="ar-SA"/>
              </w:rPr>
            </w:pPr>
            <w:r>
              <w:rPr>
                <w:rFonts w:eastAsia="Times New Roman" w:ascii="Cambria" w:hAnsi="Cambria"/>
                <w:b/>
                <w:sz w:val="18"/>
                <w:szCs w:val="20"/>
                <w:lang w:bidi="ar-SA"/>
              </w:rPr>
              <w:t>Итого торговая и прочая дебиторская задолженность за минусом резерва под обесценение</w:t>
            </w:r>
          </w:p>
        </w:tc>
        <w:tc>
          <w:tcPr>
            <w:tcW w:w="20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cs="Calibri"/>
                <w:b/>
                <w:b/>
                <w:color w:val="000000"/>
                <w:sz w:val="18"/>
                <w:szCs w:val="18"/>
              </w:rPr>
            </w:pPr>
            <w:r>
              <w:rPr>
                <w:rFonts w:cs="Calibri" w:ascii="Cambria" w:hAnsi="Cambria"/>
                <w:b/>
                <w:color w:val="000000"/>
                <w:sz w:val="18"/>
                <w:szCs w:val="18"/>
              </w:rPr>
              <w:t>640 202</w:t>
            </w:r>
          </w:p>
        </w:tc>
        <w:tc>
          <w:tcPr>
            <w:tcW w:w="202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cs="Calibri"/>
                <w:b/>
                <w:b/>
                <w:color w:val="000000"/>
                <w:sz w:val="18"/>
                <w:szCs w:val="18"/>
              </w:rPr>
            </w:pPr>
            <w:r>
              <w:rPr>
                <w:rFonts w:cs="Calibri" w:ascii="Cambria" w:hAnsi="Cambria"/>
                <w:b/>
                <w:color w:val="000000"/>
                <w:sz w:val="18"/>
                <w:szCs w:val="18"/>
              </w:rPr>
              <w:t>178 266</w:t>
            </w:r>
          </w:p>
        </w:tc>
        <w:tc>
          <w:tcPr>
            <w:tcW w:w="172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cs="Calibri"/>
                <w:b/>
                <w:b/>
                <w:color w:val="000000"/>
                <w:sz w:val="18"/>
                <w:szCs w:val="18"/>
              </w:rPr>
            </w:pPr>
            <w:r>
              <w:rPr>
                <w:rFonts w:cs="Calibri" w:ascii="Cambria" w:hAnsi="Cambria"/>
                <w:b/>
                <w:color w:val="000000"/>
                <w:sz w:val="18"/>
                <w:szCs w:val="18"/>
              </w:rPr>
              <w:t>212 611</w:t>
            </w:r>
          </w:p>
        </w:tc>
      </w:tr>
    </w:tbl>
    <w:p>
      <w:pPr>
        <w:pStyle w:val="Normal"/>
        <w:spacing w:before="120" w:after="120"/>
        <w:ind w:right="136" w:hanging="0"/>
        <w:jc w:val="both"/>
        <w:rPr>
          <w:rFonts w:ascii="Cambria" w:hAnsi="Cambria" w:eastAsia="Times New Roman"/>
          <w:sz w:val="20"/>
          <w:szCs w:val="20"/>
        </w:rPr>
      </w:pPr>
      <w:r>
        <w:rPr>
          <w:rFonts w:eastAsia="Times New Roman" w:ascii="Cambria" w:hAnsi="Cambria"/>
          <w:sz w:val="20"/>
          <w:szCs w:val="20"/>
        </w:rPr>
        <w:t>Торговая и прочая дебиторская задолженность номинирована преимущественно в российских рублях</w:t>
      </w:r>
    </w:p>
    <w:p>
      <w:pPr>
        <w:pStyle w:val="Normal"/>
        <w:spacing w:before="120" w:after="120"/>
        <w:ind w:right="136" w:hanging="0"/>
        <w:jc w:val="both"/>
        <w:rPr>
          <w:rFonts w:ascii="Cambria" w:hAnsi="Cambria" w:eastAsia="Times New Roman"/>
          <w:sz w:val="20"/>
          <w:szCs w:val="20"/>
        </w:rPr>
      </w:pPr>
      <w:r>
        <w:rPr>
          <w:rFonts w:eastAsia="Times New Roman" w:ascii="Cambria" w:hAnsi="Cambria"/>
          <w:sz w:val="20"/>
          <w:szCs w:val="20"/>
        </w:rPr>
        <w:t xml:space="preserve">Балансовая стоимость дебиторской задолженности, приблизительно равна справедливой стоимости. </w:t>
      </w:r>
    </w:p>
    <w:p>
      <w:pPr>
        <w:pStyle w:val="Normal"/>
        <w:spacing w:before="120" w:after="120"/>
        <w:ind w:right="136" w:hanging="0"/>
        <w:jc w:val="both"/>
        <w:rPr>
          <w:rFonts w:ascii="Cambria" w:hAnsi="Cambria" w:eastAsia="Times New Roman"/>
          <w:sz w:val="20"/>
          <w:szCs w:val="20"/>
        </w:rPr>
      </w:pPr>
      <w:r>
        <w:rPr>
          <w:rFonts w:eastAsia="Times New Roman" w:ascii="Cambria" w:hAnsi="Cambria"/>
          <w:sz w:val="20"/>
          <w:szCs w:val="20"/>
        </w:rPr>
        <w:t>Сумма резерва по дебиторской задолженности установлена руководством на основе определения платёжеспособности конкретных потребителей, тенденций платёжеспособности потребителей, перспектив получения оплаты и погашения задолженности, а также анализа ожидаемых в будущем потоков денежных средств. Движение резерва сомнительных долгов представлено ниже:</w:t>
      </w:r>
    </w:p>
    <w:tbl>
      <w:tblPr>
        <w:tblW w:w="9639" w:type="dxa"/>
        <w:jc w:val="left"/>
        <w:tblInd w:w="-108" w:type="dxa"/>
        <w:tblBorders/>
        <w:tblCellMar>
          <w:top w:w="0" w:type="dxa"/>
          <w:left w:w="108" w:type="dxa"/>
          <w:bottom w:w="0" w:type="dxa"/>
          <w:right w:w="108" w:type="dxa"/>
        </w:tblCellMar>
        <w:tblLook w:firstRow="1" w:noVBand="1" w:lastRow="0" w:firstColumn="1" w:lastColumn="0" w:noHBand="0" w:val="04a0"/>
      </w:tblPr>
      <w:tblGrid>
        <w:gridCol w:w="5711"/>
        <w:gridCol w:w="1963"/>
        <w:gridCol w:w="1965"/>
      </w:tblGrid>
      <w:tr>
        <w:trPr>
          <w:trHeight w:val="315" w:hRule="atLeast"/>
        </w:trPr>
        <w:tc>
          <w:tcPr>
            <w:tcW w:w="5711" w:type="dxa"/>
            <w:tcBorders/>
            <w:shd w:fill="auto" w:val="clear"/>
          </w:tcPr>
          <w:p>
            <w:pPr>
              <w:pStyle w:val="Normal"/>
              <w:jc w:val="center"/>
              <w:rPr>
                <w:sz w:val="20"/>
                <w:szCs w:val="20"/>
              </w:rPr>
            </w:pPr>
            <w:r>
              <w:rPr>
                <w:sz w:val="20"/>
                <w:szCs w:val="20"/>
              </w:rPr>
            </w:r>
          </w:p>
        </w:tc>
        <w:tc>
          <w:tcPr>
            <w:tcW w:w="1963" w:type="dxa"/>
            <w:tcBorders>
              <w:bottom w:val="single" w:sz="8" w:space="0" w:color="000000"/>
              <w:insideH w:val="single" w:sz="8" w:space="0" w:color="000000"/>
            </w:tcBorders>
            <w:shd w:fill="auto" w:val="clear"/>
          </w:tcPr>
          <w:p>
            <w:pPr>
              <w:pStyle w:val="Normal"/>
              <w:jc w:val="center"/>
              <w:rPr>
                <w:b/>
                <w:b/>
                <w:bCs/>
                <w:color w:val="000000"/>
                <w:sz w:val="20"/>
                <w:szCs w:val="20"/>
              </w:rPr>
            </w:pPr>
            <w:r>
              <w:rPr>
                <w:b/>
                <w:bCs/>
                <w:color w:val="000000"/>
                <w:sz w:val="20"/>
                <w:szCs w:val="20"/>
              </w:rPr>
              <w:t xml:space="preserve">2018 </w:t>
            </w:r>
          </w:p>
        </w:tc>
        <w:tc>
          <w:tcPr>
            <w:tcW w:w="1965" w:type="dxa"/>
            <w:tcBorders>
              <w:bottom w:val="single" w:sz="8" w:space="0" w:color="000000"/>
              <w:insideH w:val="single" w:sz="8" w:space="0" w:color="000000"/>
            </w:tcBorders>
            <w:shd w:fill="auto" w:val="clear"/>
          </w:tcPr>
          <w:p>
            <w:pPr>
              <w:pStyle w:val="Normal"/>
              <w:jc w:val="center"/>
              <w:rPr>
                <w:b/>
                <w:b/>
                <w:bCs/>
                <w:color w:val="000000"/>
                <w:sz w:val="20"/>
                <w:szCs w:val="20"/>
              </w:rPr>
            </w:pPr>
            <w:r>
              <w:rPr>
                <w:b/>
                <w:bCs/>
                <w:color w:val="000000"/>
                <w:sz w:val="20"/>
                <w:szCs w:val="20"/>
              </w:rPr>
              <w:t xml:space="preserve">2017 </w:t>
            </w:r>
          </w:p>
        </w:tc>
      </w:tr>
      <w:tr>
        <w:trPr>
          <w:trHeight w:val="300" w:hRule="atLeast"/>
        </w:trPr>
        <w:tc>
          <w:tcPr>
            <w:tcW w:w="5711" w:type="dxa"/>
            <w:tcBorders/>
            <w:shd w:fill="auto" w:val="clear"/>
          </w:tcPr>
          <w:p>
            <w:pPr>
              <w:pStyle w:val="Normal"/>
              <w:rPr>
                <w:b/>
                <w:b/>
                <w:bCs/>
                <w:color w:val="000000"/>
                <w:sz w:val="20"/>
                <w:szCs w:val="20"/>
              </w:rPr>
            </w:pPr>
            <w:r>
              <w:rPr>
                <w:b/>
                <w:bCs/>
                <w:color w:val="000000"/>
                <w:sz w:val="20"/>
                <w:szCs w:val="20"/>
              </w:rPr>
              <w:t>На 1 января</w:t>
            </w:r>
          </w:p>
        </w:tc>
        <w:tc>
          <w:tcPr>
            <w:tcW w:w="1963" w:type="dxa"/>
            <w:tcBorders/>
            <w:shd w:fill="auto" w:val="clear"/>
          </w:tcPr>
          <w:p>
            <w:pPr>
              <w:pStyle w:val="Normal"/>
              <w:jc w:val="right"/>
              <w:rPr>
                <w:b/>
                <w:b/>
                <w:bCs/>
                <w:sz w:val="20"/>
                <w:szCs w:val="20"/>
              </w:rPr>
            </w:pPr>
            <w:r>
              <w:rPr>
                <w:b/>
                <w:bCs/>
                <w:sz w:val="20"/>
                <w:szCs w:val="20"/>
              </w:rPr>
            </w:r>
          </w:p>
        </w:tc>
        <w:tc>
          <w:tcPr>
            <w:tcW w:w="1965" w:type="dxa"/>
            <w:tcBorders/>
            <w:shd w:fill="auto" w:val="clear"/>
          </w:tcPr>
          <w:p>
            <w:pPr>
              <w:pStyle w:val="Normal"/>
              <w:jc w:val="right"/>
              <w:rPr>
                <w:b/>
                <w:b/>
                <w:bCs/>
                <w:sz w:val="20"/>
                <w:szCs w:val="20"/>
              </w:rPr>
            </w:pPr>
            <w:r>
              <w:rPr>
                <w:b/>
                <w:bCs/>
                <w:sz w:val="20"/>
                <w:szCs w:val="20"/>
              </w:rPr>
            </w:r>
          </w:p>
        </w:tc>
      </w:tr>
      <w:tr>
        <w:trPr>
          <w:trHeight w:val="300" w:hRule="atLeast"/>
        </w:trPr>
        <w:tc>
          <w:tcPr>
            <w:tcW w:w="5711" w:type="dxa"/>
            <w:tcBorders/>
            <w:shd w:fill="auto" w:val="clear"/>
          </w:tcPr>
          <w:p>
            <w:pPr>
              <w:pStyle w:val="Normal"/>
              <w:rPr>
                <w:b/>
                <w:b/>
                <w:bCs/>
                <w:color w:val="000000"/>
                <w:sz w:val="20"/>
                <w:szCs w:val="20"/>
              </w:rPr>
            </w:pPr>
            <w:r>
              <w:rPr>
                <w:b/>
                <w:bCs/>
                <w:color w:val="000000"/>
                <w:sz w:val="20"/>
                <w:szCs w:val="20"/>
              </w:rPr>
              <w:t>Сформированный ОКУ в соответствии с МСФО 9</w:t>
            </w:r>
          </w:p>
        </w:tc>
        <w:tc>
          <w:tcPr>
            <w:tcW w:w="1963" w:type="dxa"/>
            <w:tcBorders/>
            <w:shd w:fill="auto" w:val="clear"/>
          </w:tcPr>
          <w:p>
            <w:pPr>
              <w:pStyle w:val="Normal"/>
              <w:jc w:val="right"/>
              <w:rPr>
                <w:b/>
                <w:b/>
                <w:bCs/>
                <w:sz w:val="20"/>
                <w:szCs w:val="20"/>
              </w:rPr>
            </w:pPr>
            <w:r>
              <w:rPr>
                <w:b/>
                <w:bCs/>
                <w:sz w:val="20"/>
                <w:szCs w:val="20"/>
              </w:rPr>
              <w:t>30 161</w:t>
            </w:r>
          </w:p>
        </w:tc>
        <w:tc>
          <w:tcPr>
            <w:tcW w:w="1965" w:type="dxa"/>
            <w:tcBorders/>
            <w:shd w:fill="auto" w:val="clear"/>
          </w:tcPr>
          <w:p>
            <w:pPr>
              <w:pStyle w:val="Normal"/>
              <w:jc w:val="right"/>
              <w:rPr>
                <w:b/>
                <w:b/>
                <w:bCs/>
                <w:sz w:val="20"/>
                <w:szCs w:val="20"/>
              </w:rPr>
            </w:pPr>
            <w:r>
              <w:rPr>
                <w:b/>
                <w:bCs/>
                <w:sz w:val="20"/>
                <w:szCs w:val="20"/>
              </w:rPr>
              <w:t>19 902</w:t>
            </w:r>
          </w:p>
        </w:tc>
      </w:tr>
      <w:tr>
        <w:trPr>
          <w:trHeight w:val="300" w:hRule="atLeast"/>
        </w:trPr>
        <w:tc>
          <w:tcPr>
            <w:tcW w:w="5711" w:type="dxa"/>
            <w:tcBorders/>
            <w:shd w:fill="auto" w:val="clear"/>
          </w:tcPr>
          <w:p>
            <w:pPr>
              <w:pStyle w:val="Normal"/>
              <w:rPr>
                <w:color w:val="000000"/>
                <w:sz w:val="20"/>
                <w:szCs w:val="20"/>
              </w:rPr>
            </w:pPr>
            <w:r>
              <w:rPr>
                <w:color w:val="000000"/>
                <w:sz w:val="20"/>
                <w:szCs w:val="20"/>
              </w:rPr>
              <w:t>Начислено</w:t>
            </w:r>
          </w:p>
        </w:tc>
        <w:tc>
          <w:tcPr>
            <w:tcW w:w="1963" w:type="dxa"/>
            <w:tcBorders/>
            <w:shd w:fill="auto" w:val="clear"/>
          </w:tcPr>
          <w:p>
            <w:pPr>
              <w:pStyle w:val="Normal"/>
              <w:jc w:val="right"/>
              <w:rPr>
                <w:sz w:val="20"/>
                <w:szCs w:val="20"/>
              </w:rPr>
            </w:pPr>
            <w:r>
              <w:rPr>
                <w:sz w:val="20"/>
                <w:szCs w:val="20"/>
              </w:rPr>
              <w:t>2 951</w:t>
            </w:r>
          </w:p>
        </w:tc>
        <w:tc>
          <w:tcPr>
            <w:tcW w:w="1965" w:type="dxa"/>
            <w:tcBorders/>
            <w:shd w:fill="auto" w:val="clear"/>
          </w:tcPr>
          <w:p>
            <w:pPr>
              <w:pStyle w:val="Normal"/>
              <w:jc w:val="right"/>
              <w:rPr>
                <w:sz w:val="20"/>
                <w:szCs w:val="20"/>
              </w:rPr>
            </w:pPr>
            <w:r>
              <w:rPr>
                <w:sz w:val="20"/>
                <w:szCs w:val="20"/>
              </w:rPr>
              <w:t>10 259</w:t>
            </w:r>
          </w:p>
        </w:tc>
      </w:tr>
      <w:tr>
        <w:trPr>
          <w:trHeight w:val="300" w:hRule="atLeast"/>
        </w:trPr>
        <w:tc>
          <w:tcPr>
            <w:tcW w:w="5711" w:type="dxa"/>
            <w:tcBorders/>
            <w:shd w:fill="auto" w:val="clear"/>
          </w:tcPr>
          <w:p>
            <w:pPr>
              <w:pStyle w:val="Normal"/>
              <w:rPr>
                <w:color w:val="000000"/>
                <w:sz w:val="20"/>
                <w:szCs w:val="20"/>
              </w:rPr>
            </w:pPr>
            <w:r>
              <w:rPr>
                <w:color w:val="000000"/>
                <w:sz w:val="20"/>
                <w:szCs w:val="20"/>
              </w:rPr>
              <w:t xml:space="preserve">Восстановлено </w:t>
            </w:r>
          </w:p>
        </w:tc>
        <w:tc>
          <w:tcPr>
            <w:tcW w:w="1963" w:type="dxa"/>
            <w:tcBorders/>
            <w:shd w:fill="auto" w:val="clear"/>
          </w:tcPr>
          <w:p>
            <w:pPr>
              <w:pStyle w:val="Normal"/>
              <w:jc w:val="right"/>
              <w:rPr>
                <w:sz w:val="20"/>
                <w:szCs w:val="20"/>
              </w:rPr>
            </w:pPr>
            <w:r>
              <w:rPr>
                <w:sz w:val="20"/>
                <w:szCs w:val="20"/>
              </w:rPr>
              <w:t>(20 423)</w:t>
            </w:r>
          </w:p>
        </w:tc>
        <w:tc>
          <w:tcPr>
            <w:tcW w:w="1965" w:type="dxa"/>
            <w:tcBorders/>
            <w:shd w:fill="auto" w:val="clear"/>
          </w:tcPr>
          <w:p>
            <w:pPr>
              <w:pStyle w:val="Normal"/>
              <w:jc w:val="right"/>
              <w:rPr>
                <w:sz w:val="20"/>
                <w:szCs w:val="20"/>
              </w:rPr>
            </w:pPr>
            <w:r>
              <w:rPr>
                <w:sz w:val="20"/>
                <w:szCs w:val="20"/>
              </w:rPr>
              <w:t>-</w:t>
            </w:r>
          </w:p>
        </w:tc>
      </w:tr>
      <w:tr>
        <w:trPr>
          <w:trHeight w:val="315" w:hRule="atLeast"/>
        </w:trPr>
        <w:tc>
          <w:tcPr>
            <w:tcW w:w="5711" w:type="dxa"/>
            <w:tcBorders/>
            <w:shd w:fill="auto" w:val="clear"/>
          </w:tcPr>
          <w:p>
            <w:pPr>
              <w:pStyle w:val="Normal"/>
              <w:rPr>
                <w:b/>
                <w:b/>
                <w:bCs/>
                <w:color w:val="000000"/>
                <w:sz w:val="20"/>
                <w:szCs w:val="20"/>
              </w:rPr>
            </w:pPr>
            <w:r>
              <w:rPr>
                <w:b/>
                <w:bCs/>
                <w:color w:val="000000"/>
                <w:sz w:val="20"/>
                <w:szCs w:val="20"/>
              </w:rPr>
              <w:t xml:space="preserve">На 31 декабря </w:t>
            </w:r>
          </w:p>
        </w:tc>
        <w:tc>
          <w:tcPr>
            <w:tcW w:w="1963" w:type="dxa"/>
            <w:tcBorders>
              <w:top w:val="single" w:sz="8" w:space="0" w:color="000000"/>
              <w:bottom w:val="single" w:sz="8" w:space="0" w:color="000000"/>
              <w:insideH w:val="single" w:sz="8" w:space="0" w:color="000000"/>
            </w:tcBorders>
            <w:shd w:fill="auto" w:val="clear"/>
          </w:tcPr>
          <w:p>
            <w:pPr>
              <w:pStyle w:val="Normal"/>
              <w:jc w:val="right"/>
              <w:rPr>
                <w:b/>
                <w:b/>
                <w:bCs/>
                <w:sz w:val="20"/>
                <w:szCs w:val="20"/>
              </w:rPr>
            </w:pPr>
            <w:r>
              <w:rPr>
                <w:b/>
                <w:bCs/>
                <w:sz w:val="20"/>
                <w:szCs w:val="20"/>
              </w:rPr>
              <w:t>12 689</w:t>
            </w:r>
          </w:p>
        </w:tc>
        <w:tc>
          <w:tcPr>
            <w:tcW w:w="1965" w:type="dxa"/>
            <w:tcBorders>
              <w:top w:val="single" w:sz="8" w:space="0" w:color="000000"/>
              <w:bottom w:val="single" w:sz="8" w:space="0" w:color="000000"/>
              <w:insideH w:val="single" w:sz="8" w:space="0" w:color="000000"/>
            </w:tcBorders>
            <w:shd w:fill="auto" w:val="clear"/>
          </w:tcPr>
          <w:p>
            <w:pPr>
              <w:pStyle w:val="Normal"/>
              <w:jc w:val="right"/>
              <w:rPr>
                <w:b/>
                <w:b/>
                <w:bCs/>
                <w:sz w:val="20"/>
                <w:szCs w:val="20"/>
              </w:rPr>
            </w:pPr>
            <w:r>
              <w:rPr>
                <w:b/>
                <w:bCs/>
                <w:sz w:val="20"/>
                <w:szCs w:val="20"/>
              </w:rPr>
              <w:t>30 161</w:t>
            </w:r>
          </w:p>
        </w:tc>
      </w:tr>
    </w:tbl>
    <w:p>
      <w:pPr>
        <w:pStyle w:val="Normal"/>
        <w:spacing w:before="120" w:after="120"/>
        <w:ind w:right="136" w:hanging="0"/>
        <w:jc w:val="both"/>
        <w:rPr>
          <w:rFonts w:ascii="Cambria" w:hAnsi="Cambria" w:eastAsia="Times New Roman"/>
          <w:sz w:val="20"/>
          <w:szCs w:val="20"/>
        </w:rPr>
      </w:pPr>
      <w:r>
        <w:rPr>
          <w:rFonts w:eastAsia="Times New Roman" w:ascii="Cambria" w:hAnsi="Cambria"/>
          <w:sz w:val="20"/>
          <w:szCs w:val="20"/>
        </w:rPr>
        <w:t>Информация о подверженности Группы кредитному риску раскрыта в Примечании 24.</w:t>
      </w:r>
    </w:p>
    <w:p>
      <w:pPr>
        <w:pStyle w:val="Normal"/>
        <w:spacing w:before="120" w:after="120"/>
        <w:ind w:right="136" w:hanging="0"/>
        <w:jc w:val="both"/>
        <w:rPr>
          <w:rFonts w:ascii="Cambria" w:hAnsi="Cambria" w:eastAsia="Times New Roman"/>
          <w:sz w:val="20"/>
          <w:szCs w:val="20"/>
        </w:rPr>
      </w:pPr>
      <w:r>
        <w:rPr>
          <w:rFonts w:eastAsia="Times New Roman" w:ascii="Cambria" w:hAnsi="Cambria"/>
          <w:sz w:val="20"/>
          <w:szCs w:val="20"/>
        </w:rPr>
        <w:t>Информация о сроках возникновения торговой и прочей дебиторской задолженности представлена в таблице:</w:t>
      </w:r>
    </w:p>
    <w:tbl>
      <w:tblPr>
        <w:tblW w:w="9639" w:type="dxa"/>
        <w:jc w:val="left"/>
        <w:tblInd w:w="-108" w:type="dxa"/>
        <w:tblBorders/>
        <w:tblCellMar>
          <w:top w:w="0" w:type="dxa"/>
          <w:left w:w="108" w:type="dxa"/>
          <w:bottom w:w="0" w:type="dxa"/>
          <w:right w:w="108" w:type="dxa"/>
        </w:tblCellMar>
        <w:tblLook w:firstRow="1" w:noVBand="0" w:lastRow="0" w:firstColumn="1" w:lastColumn="0" w:noHBand="0" w:val="00a0"/>
      </w:tblPr>
      <w:tblGrid>
        <w:gridCol w:w="2169"/>
        <w:gridCol w:w="1736"/>
        <w:gridCol w:w="2024"/>
        <w:gridCol w:w="16"/>
        <w:gridCol w:w="1818"/>
        <w:gridCol w:w="1876"/>
      </w:tblGrid>
      <w:tr>
        <w:trPr>
          <w:trHeight w:val="20" w:hRule="atLeast"/>
        </w:trPr>
        <w:tc>
          <w:tcPr>
            <w:tcW w:w="2169" w:type="dxa"/>
            <w:tcBorders/>
            <w:shd w:fill="auto" w:val="clear"/>
            <w:vAlign w:val="bottom"/>
          </w:tcPr>
          <w:p>
            <w:pPr>
              <w:pStyle w:val="Normal"/>
              <w:jc w:val="center"/>
              <w:rPr>
                <w:color w:val="000000"/>
                <w:sz w:val="20"/>
                <w:szCs w:val="20"/>
              </w:rPr>
            </w:pPr>
            <w:r>
              <w:rPr>
                <w:color w:val="000000"/>
                <w:sz w:val="20"/>
                <w:szCs w:val="20"/>
              </w:rPr>
            </w:r>
          </w:p>
        </w:tc>
        <w:tc>
          <w:tcPr>
            <w:tcW w:w="1736" w:type="dxa"/>
            <w:tcBorders/>
            <w:shd w:fill="auto" w:val="clear"/>
            <w:vAlign w:val="bottom"/>
          </w:tcPr>
          <w:p>
            <w:pPr>
              <w:pStyle w:val="Normal"/>
              <w:jc w:val="center"/>
              <w:rPr>
                <w:b/>
                <w:b/>
                <w:color w:val="000000"/>
                <w:sz w:val="20"/>
                <w:szCs w:val="20"/>
              </w:rPr>
            </w:pPr>
            <w:r>
              <w:rPr>
                <w:b/>
                <w:color w:val="000000"/>
                <w:sz w:val="20"/>
                <w:szCs w:val="20"/>
              </w:rPr>
            </w:r>
          </w:p>
        </w:tc>
        <w:tc>
          <w:tcPr>
            <w:tcW w:w="2040" w:type="dxa"/>
            <w:gridSpan w:val="2"/>
            <w:tcBorders/>
            <w:shd w:fill="auto" w:val="clear"/>
            <w:vAlign w:val="bottom"/>
          </w:tcPr>
          <w:p>
            <w:pPr>
              <w:pStyle w:val="Normal"/>
              <w:jc w:val="center"/>
              <w:rPr>
                <w:b/>
                <w:b/>
                <w:bCs/>
                <w:sz w:val="20"/>
                <w:szCs w:val="20"/>
              </w:rPr>
            </w:pPr>
            <w:r>
              <w:rPr>
                <w:b/>
                <w:bCs/>
                <w:sz w:val="20"/>
                <w:szCs w:val="20"/>
              </w:rPr>
            </w:r>
          </w:p>
        </w:tc>
        <w:tc>
          <w:tcPr>
            <w:tcW w:w="3694" w:type="dxa"/>
            <w:gridSpan w:val="2"/>
            <w:tcBorders>
              <w:bottom w:val="single" w:sz="4" w:space="0" w:color="000000"/>
              <w:insideH w:val="single" w:sz="4" w:space="0" w:color="000000"/>
            </w:tcBorders>
            <w:shd w:fill="auto" w:val="clear"/>
            <w:vAlign w:val="bottom"/>
          </w:tcPr>
          <w:p>
            <w:pPr>
              <w:pStyle w:val="Normal"/>
              <w:jc w:val="center"/>
              <w:rPr>
                <w:color w:val="000000"/>
                <w:sz w:val="20"/>
                <w:szCs w:val="20"/>
              </w:rPr>
            </w:pPr>
            <w:r>
              <w:rPr>
                <w:b/>
                <w:bCs/>
                <w:sz w:val="20"/>
                <w:szCs w:val="20"/>
              </w:rPr>
              <w:t>Просроченная и обесцененная</w:t>
            </w:r>
          </w:p>
        </w:tc>
      </w:tr>
      <w:tr>
        <w:trPr>
          <w:trHeight w:val="20" w:hRule="atLeast"/>
        </w:trPr>
        <w:tc>
          <w:tcPr>
            <w:tcW w:w="2169" w:type="dxa"/>
            <w:tcBorders/>
            <w:shd w:fill="auto" w:val="clear"/>
            <w:vAlign w:val="bottom"/>
          </w:tcPr>
          <w:p>
            <w:pPr>
              <w:pStyle w:val="Normal"/>
              <w:jc w:val="center"/>
              <w:rPr>
                <w:color w:val="000000"/>
                <w:sz w:val="20"/>
                <w:szCs w:val="20"/>
              </w:rPr>
            </w:pPr>
            <w:r>
              <w:rPr>
                <w:color w:val="000000"/>
                <w:sz w:val="20"/>
                <w:szCs w:val="20"/>
              </w:rPr>
            </w:r>
          </w:p>
        </w:tc>
        <w:tc>
          <w:tcPr>
            <w:tcW w:w="1736" w:type="dxa"/>
            <w:tcBorders>
              <w:bottom w:val="single" w:sz="4" w:space="0" w:color="000000"/>
              <w:insideH w:val="single" w:sz="4" w:space="0" w:color="000000"/>
            </w:tcBorders>
            <w:shd w:fill="auto" w:val="clear"/>
            <w:vAlign w:val="bottom"/>
          </w:tcPr>
          <w:p>
            <w:pPr>
              <w:pStyle w:val="Normal"/>
              <w:jc w:val="center"/>
              <w:rPr>
                <w:b/>
                <w:b/>
                <w:color w:val="000000"/>
                <w:sz w:val="20"/>
                <w:szCs w:val="20"/>
              </w:rPr>
            </w:pPr>
            <w:r>
              <w:rPr>
                <w:b/>
                <w:color w:val="000000"/>
                <w:sz w:val="20"/>
                <w:szCs w:val="20"/>
              </w:rPr>
              <w:t>Итого</w:t>
            </w:r>
          </w:p>
        </w:tc>
        <w:tc>
          <w:tcPr>
            <w:tcW w:w="2024" w:type="dxa"/>
            <w:tcBorders>
              <w:bottom w:val="single" w:sz="4" w:space="0" w:color="000000"/>
              <w:insideH w:val="single" w:sz="4" w:space="0" w:color="000000"/>
            </w:tcBorders>
            <w:shd w:fill="auto" w:val="clear"/>
            <w:vAlign w:val="bottom"/>
          </w:tcPr>
          <w:p>
            <w:pPr>
              <w:pStyle w:val="Normal"/>
              <w:jc w:val="center"/>
              <w:rPr>
                <w:b/>
                <w:b/>
                <w:bCs/>
                <w:sz w:val="20"/>
                <w:szCs w:val="20"/>
              </w:rPr>
            </w:pPr>
            <w:r>
              <w:rPr>
                <w:b/>
                <w:bCs/>
                <w:sz w:val="20"/>
                <w:szCs w:val="20"/>
              </w:rPr>
              <w:t>Не просроченная и обесцененная</w:t>
            </w:r>
          </w:p>
        </w:tc>
        <w:tc>
          <w:tcPr>
            <w:tcW w:w="1834" w:type="dxa"/>
            <w:gridSpan w:val="2"/>
            <w:tcBorders>
              <w:bottom w:val="single" w:sz="4" w:space="0" w:color="000000"/>
              <w:insideH w:val="single" w:sz="4" w:space="0" w:color="000000"/>
            </w:tcBorders>
            <w:shd w:fill="auto" w:val="clear"/>
            <w:vAlign w:val="bottom"/>
          </w:tcPr>
          <w:p>
            <w:pPr>
              <w:pStyle w:val="Normal"/>
              <w:jc w:val="center"/>
              <w:rPr>
                <w:b/>
                <w:b/>
                <w:color w:val="000000"/>
                <w:sz w:val="20"/>
                <w:szCs w:val="20"/>
              </w:rPr>
            </w:pPr>
            <w:r>
              <w:rPr>
                <w:b/>
                <w:color w:val="000000"/>
                <w:sz w:val="20"/>
                <w:szCs w:val="20"/>
              </w:rPr>
              <w:t>Менее 90 дней</w:t>
            </w:r>
          </w:p>
        </w:tc>
        <w:tc>
          <w:tcPr>
            <w:tcW w:w="1876" w:type="dxa"/>
            <w:tcBorders>
              <w:bottom w:val="single" w:sz="4" w:space="0" w:color="000000"/>
              <w:insideH w:val="single" w:sz="4" w:space="0" w:color="000000"/>
            </w:tcBorders>
            <w:shd w:fill="auto" w:val="clear"/>
            <w:vAlign w:val="bottom"/>
          </w:tcPr>
          <w:p>
            <w:pPr>
              <w:pStyle w:val="Normal"/>
              <w:jc w:val="center"/>
              <w:rPr>
                <w:b/>
                <w:b/>
                <w:color w:val="000000"/>
                <w:sz w:val="20"/>
                <w:szCs w:val="20"/>
              </w:rPr>
            </w:pPr>
            <w:r>
              <w:rPr>
                <w:b/>
                <w:color w:val="000000"/>
                <w:sz w:val="20"/>
                <w:szCs w:val="20"/>
              </w:rPr>
              <w:t>Более 90 дней</w:t>
            </w:r>
          </w:p>
        </w:tc>
      </w:tr>
      <w:tr>
        <w:trPr>
          <w:trHeight w:val="301" w:hRule="atLeast"/>
        </w:trPr>
        <w:tc>
          <w:tcPr>
            <w:tcW w:w="2169" w:type="dxa"/>
            <w:tcBorders/>
            <w:shd w:fill="auto" w:val="clear"/>
          </w:tcPr>
          <w:p>
            <w:pPr>
              <w:pStyle w:val="Normal"/>
              <w:rPr>
                <w:color w:val="000000"/>
                <w:sz w:val="20"/>
                <w:szCs w:val="20"/>
              </w:rPr>
            </w:pPr>
            <w:r>
              <w:rPr>
                <w:color w:val="000000"/>
                <w:sz w:val="20"/>
                <w:szCs w:val="20"/>
              </w:rPr>
            </w:r>
          </w:p>
        </w:tc>
        <w:tc>
          <w:tcPr>
            <w:tcW w:w="1736" w:type="dxa"/>
            <w:tcBorders>
              <w:top w:val="single" w:sz="4" w:space="0" w:color="000000"/>
            </w:tcBorders>
            <w:shd w:fill="auto" w:val="clear"/>
          </w:tcPr>
          <w:p>
            <w:pPr>
              <w:pStyle w:val="Normal"/>
              <w:jc w:val="center"/>
              <w:rPr>
                <w:b/>
                <w:b/>
                <w:color w:val="000000"/>
                <w:sz w:val="20"/>
                <w:szCs w:val="20"/>
              </w:rPr>
            </w:pPr>
            <w:r>
              <w:rPr>
                <w:b/>
                <w:color w:val="000000"/>
                <w:sz w:val="20"/>
                <w:szCs w:val="20"/>
              </w:rPr>
            </w:r>
          </w:p>
        </w:tc>
        <w:tc>
          <w:tcPr>
            <w:tcW w:w="2024" w:type="dxa"/>
            <w:tcBorders>
              <w:top w:val="single" w:sz="4" w:space="0" w:color="000000"/>
            </w:tcBorders>
            <w:shd w:fill="auto" w:val="clear"/>
          </w:tcPr>
          <w:p>
            <w:pPr>
              <w:pStyle w:val="Normal"/>
              <w:rPr>
                <w:b/>
                <w:b/>
                <w:bCs/>
                <w:sz w:val="20"/>
                <w:szCs w:val="20"/>
              </w:rPr>
            </w:pPr>
            <w:r>
              <w:rPr>
                <w:b/>
                <w:bCs/>
                <w:sz w:val="20"/>
                <w:szCs w:val="20"/>
              </w:rPr>
            </w:r>
          </w:p>
        </w:tc>
        <w:tc>
          <w:tcPr>
            <w:tcW w:w="1834" w:type="dxa"/>
            <w:gridSpan w:val="2"/>
            <w:tcBorders>
              <w:top w:val="single" w:sz="4" w:space="0" w:color="000000"/>
            </w:tcBorders>
            <w:shd w:fill="auto" w:val="clear"/>
          </w:tcPr>
          <w:p>
            <w:pPr>
              <w:pStyle w:val="Normal"/>
              <w:jc w:val="center"/>
              <w:rPr>
                <w:color w:val="000000"/>
                <w:sz w:val="20"/>
                <w:szCs w:val="20"/>
              </w:rPr>
            </w:pPr>
            <w:r>
              <w:rPr>
                <w:color w:val="000000"/>
                <w:sz w:val="20"/>
                <w:szCs w:val="20"/>
              </w:rPr>
            </w:r>
          </w:p>
        </w:tc>
        <w:tc>
          <w:tcPr>
            <w:tcW w:w="1876" w:type="dxa"/>
            <w:tcBorders>
              <w:top w:val="single" w:sz="4" w:space="0" w:color="000000"/>
            </w:tcBorders>
            <w:shd w:fill="auto" w:val="clear"/>
          </w:tcPr>
          <w:p>
            <w:pPr>
              <w:pStyle w:val="Normal"/>
              <w:jc w:val="center"/>
              <w:rPr>
                <w:color w:val="000000"/>
                <w:sz w:val="20"/>
                <w:szCs w:val="20"/>
              </w:rPr>
            </w:pPr>
            <w:r>
              <w:rPr>
                <w:color w:val="000000"/>
                <w:sz w:val="20"/>
                <w:szCs w:val="20"/>
              </w:rPr>
            </w:r>
          </w:p>
        </w:tc>
      </w:tr>
      <w:tr>
        <w:trPr>
          <w:trHeight w:val="20" w:hRule="atLeast"/>
        </w:trPr>
        <w:tc>
          <w:tcPr>
            <w:tcW w:w="2169" w:type="dxa"/>
            <w:tcBorders/>
            <w:shd w:fill="auto" w:val="clear"/>
          </w:tcPr>
          <w:p>
            <w:pPr>
              <w:pStyle w:val="Normal"/>
              <w:rPr>
                <w:color w:val="000000"/>
                <w:sz w:val="20"/>
                <w:szCs w:val="20"/>
              </w:rPr>
            </w:pPr>
            <w:r>
              <w:rPr>
                <w:color w:val="000000"/>
                <w:sz w:val="20"/>
                <w:szCs w:val="20"/>
              </w:rPr>
              <w:t>2017 год</w:t>
            </w:r>
          </w:p>
        </w:tc>
        <w:tc>
          <w:tcPr>
            <w:tcW w:w="1736" w:type="dxa"/>
            <w:tcBorders/>
            <w:shd w:fill="auto" w:val="clear"/>
            <w:vAlign w:val="bottom"/>
          </w:tcPr>
          <w:p>
            <w:pPr>
              <w:pStyle w:val="Normal"/>
              <w:jc w:val="right"/>
              <w:rPr>
                <w:rFonts w:ascii="Cambria" w:hAnsi="Cambria"/>
                <w:color w:val="000000"/>
                <w:sz w:val="18"/>
                <w:szCs w:val="18"/>
              </w:rPr>
            </w:pPr>
            <w:r>
              <w:rPr>
                <w:rFonts w:ascii="Cambria" w:hAnsi="Cambria"/>
                <w:color w:val="000000"/>
                <w:sz w:val="18"/>
                <w:szCs w:val="18"/>
              </w:rPr>
              <w:t>121 029</w:t>
            </w:r>
          </w:p>
        </w:tc>
        <w:tc>
          <w:tcPr>
            <w:tcW w:w="2024" w:type="dxa"/>
            <w:tcBorders/>
            <w:shd w:fill="auto" w:val="clear"/>
            <w:vAlign w:val="bottom"/>
          </w:tcPr>
          <w:p>
            <w:pPr>
              <w:pStyle w:val="Normal"/>
              <w:jc w:val="right"/>
              <w:rPr>
                <w:rFonts w:ascii="Cambria" w:hAnsi="Cambria"/>
                <w:color w:val="000000"/>
                <w:sz w:val="18"/>
                <w:szCs w:val="18"/>
              </w:rPr>
            </w:pPr>
            <w:r>
              <w:rPr>
                <w:rFonts w:ascii="Cambria" w:hAnsi="Cambria"/>
                <w:color w:val="000000"/>
                <w:sz w:val="18"/>
                <w:szCs w:val="18"/>
              </w:rPr>
              <w:t>90 868</w:t>
            </w:r>
          </w:p>
        </w:tc>
        <w:tc>
          <w:tcPr>
            <w:tcW w:w="1834" w:type="dxa"/>
            <w:gridSpan w:val="2"/>
            <w:tcBorders/>
            <w:shd w:fill="auto" w:val="clear"/>
            <w:vAlign w:val="center"/>
          </w:tcPr>
          <w:p>
            <w:pPr>
              <w:pStyle w:val="Normal"/>
              <w:jc w:val="right"/>
              <w:rPr>
                <w:rFonts w:ascii="Cambria" w:hAnsi="Cambria"/>
                <w:color w:val="000000"/>
                <w:sz w:val="18"/>
                <w:szCs w:val="18"/>
              </w:rPr>
            </w:pPr>
            <w:r>
              <w:rPr>
                <w:rFonts w:ascii="Cambria" w:hAnsi="Cambria"/>
                <w:color w:val="000000"/>
                <w:sz w:val="18"/>
                <w:szCs w:val="18"/>
              </w:rPr>
              <w:t>-</w:t>
            </w:r>
          </w:p>
        </w:tc>
        <w:tc>
          <w:tcPr>
            <w:tcW w:w="1876" w:type="dxa"/>
            <w:tcBorders/>
            <w:shd w:fill="auto" w:val="clear"/>
            <w:vAlign w:val="center"/>
          </w:tcPr>
          <w:p>
            <w:pPr>
              <w:pStyle w:val="Normal"/>
              <w:jc w:val="right"/>
              <w:rPr>
                <w:rFonts w:ascii="Cambria" w:hAnsi="Cambria"/>
                <w:color w:val="000000"/>
                <w:sz w:val="18"/>
                <w:szCs w:val="18"/>
              </w:rPr>
            </w:pPr>
            <w:r>
              <w:rPr>
                <w:rFonts w:ascii="Cambria" w:hAnsi="Cambria"/>
                <w:color w:val="000000"/>
                <w:sz w:val="18"/>
                <w:szCs w:val="18"/>
              </w:rPr>
              <w:t>30 161</w:t>
            </w:r>
          </w:p>
        </w:tc>
      </w:tr>
      <w:tr>
        <w:trPr>
          <w:trHeight w:val="20" w:hRule="atLeast"/>
        </w:trPr>
        <w:tc>
          <w:tcPr>
            <w:tcW w:w="2169" w:type="dxa"/>
            <w:tcBorders/>
            <w:shd w:fill="auto" w:val="clear"/>
          </w:tcPr>
          <w:p>
            <w:pPr>
              <w:pStyle w:val="Normal"/>
              <w:rPr>
                <w:color w:val="000000"/>
                <w:sz w:val="20"/>
                <w:szCs w:val="20"/>
              </w:rPr>
            </w:pPr>
            <w:r>
              <w:rPr>
                <w:color w:val="000000"/>
                <w:sz w:val="20"/>
                <w:szCs w:val="20"/>
              </w:rPr>
              <w:t>2018 год</w:t>
            </w:r>
          </w:p>
        </w:tc>
        <w:tc>
          <w:tcPr>
            <w:tcW w:w="1736" w:type="dxa"/>
            <w:tcBorders/>
            <w:shd w:fill="auto" w:val="clear"/>
            <w:vAlign w:val="center"/>
          </w:tcPr>
          <w:p>
            <w:pPr>
              <w:pStyle w:val="Normal"/>
              <w:jc w:val="right"/>
              <w:rPr>
                <w:rFonts w:ascii="Cambria" w:hAnsi="Cambria"/>
                <w:color w:val="000000"/>
                <w:sz w:val="18"/>
                <w:szCs w:val="18"/>
              </w:rPr>
            </w:pPr>
            <w:r>
              <w:rPr>
                <w:rFonts w:ascii="Cambria" w:hAnsi="Cambria"/>
                <w:color w:val="000000"/>
                <w:sz w:val="18"/>
                <w:szCs w:val="18"/>
              </w:rPr>
              <w:t>552 167</w:t>
            </w:r>
          </w:p>
        </w:tc>
        <w:tc>
          <w:tcPr>
            <w:tcW w:w="2024" w:type="dxa"/>
            <w:tcBorders/>
            <w:shd w:fill="auto" w:val="clear"/>
            <w:vAlign w:val="bottom"/>
          </w:tcPr>
          <w:p>
            <w:pPr>
              <w:pStyle w:val="Normal"/>
              <w:jc w:val="right"/>
              <w:rPr>
                <w:rFonts w:ascii="Cambria" w:hAnsi="Cambria"/>
                <w:color w:val="000000"/>
                <w:sz w:val="18"/>
                <w:szCs w:val="18"/>
              </w:rPr>
            </w:pPr>
            <w:r>
              <w:rPr>
                <w:rFonts w:ascii="Cambria" w:hAnsi="Cambria"/>
                <w:color w:val="000000"/>
                <w:sz w:val="18"/>
                <w:szCs w:val="18"/>
              </w:rPr>
              <w:t>539 478</w:t>
            </w:r>
          </w:p>
        </w:tc>
        <w:tc>
          <w:tcPr>
            <w:tcW w:w="1834" w:type="dxa"/>
            <w:gridSpan w:val="2"/>
            <w:tcBorders/>
            <w:shd w:fill="auto" w:val="clear"/>
            <w:vAlign w:val="center"/>
          </w:tcPr>
          <w:p>
            <w:pPr>
              <w:pStyle w:val="Normal"/>
              <w:jc w:val="right"/>
              <w:rPr>
                <w:rFonts w:ascii="Cambria" w:hAnsi="Cambria"/>
                <w:color w:val="000000"/>
                <w:sz w:val="18"/>
                <w:szCs w:val="18"/>
              </w:rPr>
            </w:pPr>
            <w:r>
              <w:rPr>
                <w:rFonts w:ascii="Cambria" w:hAnsi="Cambria"/>
                <w:color w:val="000000"/>
                <w:sz w:val="18"/>
                <w:szCs w:val="18"/>
              </w:rPr>
              <w:t>-</w:t>
            </w:r>
          </w:p>
        </w:tc>
        <w:tc>
          <w:tcPr>
            <w:tcW w:w="1876" w:type="dxa"/>
            <w:tcBorders/>
            <w:shd w:fill="auto" w:val="clear"/>
            <w:vAlign w:val="center"/>
          </w:tcPr>
          <w:p>
            <w:pPr>
              <w:pStyle w:val="Normal"/>
              <w:jc w:val="right"/>
              <w:rPr>
                <w:rFonts w:ascii="Cambria" w:hAnsi="Cambria"/>
                <w:color w:val="000000"/>
                <w:sz w:val="18"/>
                <w:szCs w:val="18"/>
              </w:rPr>
            </w:pPr>
            <w:r>
              <w:rPr>
                <w:rFonts w:ascii="Cambria" w:hAnsi="Cambria"/>
                <w:color w:val="000000"/>
                <w:sz w:val="18"/>
                <w:szCs w:val="18"/>
              </w:rPr>
              <w:t>12 689</w:t>
            </w:r>
          </w:p>
        </w:tc>
      </w:tr>
    </w:tbl>
    <w:p>
      <w:pPr>
        <w:pStyle w:val="Style23"/>
        <w:spacing w:before="0" w:after="0"/>
        <w:rPr>
          <w:sz w:val="20"/>
          <w:lang w:val="ru-RU"/>
        </w:rPr>
      </w:pPr>
      <w:r>
        <w:rPr>
          <w:sz w:val="20"/>
          <w:lang w:val="ru-RU"/>
        </w:rPr>
      </w:r>
    </w:p>
    <w:p>
      <w:pPr>
        <w:pStyle w:val="Style23"/>
        <w:spacing w:before="0" w:after="0"/>
        <w:rPr>
          <w:sz w:val="20"/>
          <w:lang w:val="ru-RU"/>
        </w:rPr>
      </w:pPr>
      <w:r>
        <w:rPr>
          <w:sz w:val="20"/>
          <w:lang w:val="ru-RU"/>
        </w:rPr>
      </w:r>
    </w:p>
    <w:p>
      <w:pPr>
        <w:pStyle w:val="Normal"/>
        <w:spacing w:before="120" w:after="120"/>
        <w:ind w:right="136" w:hanging="0"/>
        <w:jc w:val="both"/>
        <w:rPr>
          <w:rFonts w:ascii="Cambria" w:hAnsi="Cambria" w:eastAsia="Times New Roman"/>
          <w:sz w:val="20"/>
          <w:szCs w:val="20"/>
        </w:rPr>
      </w:pPr>
      <w:r>
        <w:rPr>
          <w:rFonts w:eastAsia="Times New Roman" w:ascii="Cambria" w:hAnsi="Cambria"/>
          <w:sz w:val="20"/>
          <w:szCs w:val="20"/>
        </w:rPr>
      </w:r>
    </w:p>
    <w:p>
      <w:pPr>
        <w:pStyle w:val="ListParagraph"/>
        <w:keepLines/>
        <w:numPr>
          <w:ilvl w:val="0"/>
          <w:numId w:val="0"/>
        </w:numPr>
        <w:spacing w:before="120" w:after="120"/>
        <w:ind w:left="720" w:right="136" w:hanging="0"/>
        <w:contextualSpacing/>
        <w:outlineLvl w:val="0"/>
        <w:rPr>
          <w:rFonts w:ascii="Cambria" w:hAnsi="Cambria" w:eastAsia="Times New Roman"/>
          <w:sz w:val="20"/>
          <w:szCs w:val="20"/>
        </w:rPr>
      </w:pPr>
      <w:r>
        <w:rPr>
          <w:rFonts w:eastAsia="Times New Roman" w:ascii="Cambria" w:hAnsi="Cambria"/>
          <w:sz w:val="20"/>
          <w:szCs w:val="20"/>
        </w:rPr>
      </w:r>
    </w:p>
    <w:p>
      <w:pPr>
        <w:pStyle w:val="ListParagraph"/>
        <w:keepLines/>
        <w:numPr>
          <w:ilvl w:val="0"/>
          <w:numId w:val="1"/>
        </w:numPr>
        <w:spacing w:before="120" w:after="120"/>
        <w:ind w:left="0" w:right="136" w:hanging="0"/>
        <w:jc w:val="both"/>
        <w:outlineLvl w:val="0"/>
        <w:rPr>
          <w:rFonts w:ascii="Cambria" w:hAnsi="Cambria" w:eastAsia="Times New Roman"/>
          <w:sz w:val="20"/>
          <w:szCs w:val="20"/>
        </w:rPr>
      </w:pPr>
      <w:r>
        <w:rPr>
          <w:rFonts w:eastAsia="Times New Roman" w:ascii="Cambria" w:hAnsi="Cambria"/>
          <w:b/>
          <w:bCs/>
          <w:szCs w:val="20"/>
          <w:lang w:bidi="ar-SA"/>
        </w:rPr>
        <w:t>АВАНСЫ ВЫДАННЫЕ</w:t>
      </w:r>
    </w:p>
    <w:tbl>
      <w:tblPr>
        <w:tblW w:w="8900" w:type="dxa"/>
        <w:jc w:val="left"/>
        <w:tblInd w:w="1" w:type="dxa"/>
        <w:tblBorders/>
        <w:tblCellMar>
          <w:top w:w="0" w:type="dxa"/>
          <w:left w:w="108" w:type="dxa"/>
          <w:bottom w:w="0" w:type="dxa"/>
          <w:right w:w="108" w:type="dxa"/>
        </w:tblCellMar>
        <w:tblLook w:firstRow="1" w:noVBand="1" w:lastRow="0" w:firstColumn="1" w:lastColumn="0" w:noHBand="0" w:val="04a0"/>
      </w:tblPr>
      <w:tblGrid>
        <w:gridCol w:w="3819"/>
        <w:gridCol w:w="1641"/>
        <w:gridCol w:w="1860"/>
        <w:gridCol w:w="1579"/>
      </w:tblGrid>
      <w:tr>
        <w:trPr>
          <w:trHeight w:val="300" w:hRule="atLeast"/>
        </w:trPr>
        <w:tc>
          <w:tcPr>
            <w:tcW w:w="3819" w:type="dxa"/>
            <w:vMerge w:val="restart"/>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641"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86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57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01 января</w:t>
            </w:r>
          </w:p>
        </w:tc>
      </w:tr>
      <w:tr>
        <w:trPr>
          <w:trHeight w:val="315" w:hRule="atLeast"/>
        </w:trPr>
        <w:tc>
          <w:tcPr>
            <w:tcW w:w="3819"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641"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2018 года</w:t>
            </w:r>
          </w:p>
        </w:tc>
        <w:tc>
          <w:tcPr>
            <w:tcW w:w="18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c>
          <w:tcPr>
            <w:tcW w:w="157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r>
      <w:tr>
        <w:trPr>
          <w:trHeight w:val="315" w:hRule="atLeast"/>
        </w:trPr>
        <w:tc>
          <w:tcPr>
            <w:tcW w:w="3819" w:type="dxa"/>
            <w:tcBorders/>
            <w:shd w:fill="auto" w:val="clear"/>
            <w:vAlign w:val="bottom"/>
          </w:tcPr>
          <w:p>
            <w:pPr>
              <w:pStyle w:val="Normal"/>
              <w:ind w:right="134" w:hanging="0"/>
              <w:rPr>
                <w:rFonts w:ascii="Cambria" w:hAnsi="Cambria" w:eastAsia="Times New Roman"/>
                <w:b/>
                <w:b/>
                <w:i/>
                <w:i/>
                <w:sz w:val="18"/>
                <w:szCs w:val="20"/>
                <w:lang w:bidi="ar-SA"/>
              </w:rPr>
            </w:pPr>
            <w:r>
              <w:rPr>
                <w:rFonts w:eastAsia="Times New Roman" w:ascii="Cambria" w:hAnsi="Cambria"/>
                <w:b/>
                <w:i/>
                <w:sz w:val="18"/>
                <w:szCs w:val="20"/>
                <w:lang w:bidi="ar-SA"/>
              </w:rPr>
              <w:t>Краткосрочные</w:t>
            </w:r>
          </w:p>
        </w:tc>
        <w:tc>
          <w:tcPr>
            <w:tcW w:w="1641"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60" w:type="dxa"/>
            <w:tcBorders/>
            <w:shd w:fill="auto" w:val="clear"/>
            <w:vAlign w:val="bottom"/>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79" w:type="dxa"/>
            <w:tcBorders/>
            <w:shd w:fill="auto" w:val="clear"/>
            <w:vAlign w:val="bottom"/>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15" w:hRule="atLeast"/>
        </w:trPr>
        <w:tc>
          <w:tcPr>
            <w:tcW w:w="3819" w:type="dxa"/>
            <w:tcBorders/>
            <w:shd w:fill="auto" w:val="clear"/>
            <w:vAlign w:val="center"/>
          </w:tcPr>
          <w:p>
            <w:pPr>
              <w:pStyle w:val="Normal"/>
              <w:ind w:right="134" w:hanging="0"/>
              <w:rPr>
                <w:rFonts w:ascii="Cambria" w:hAnsi="Cambria" w:eastAsia="Times New Roman"/>
                <w:sz w:val="18"/>
                <w:szCs w:val="20"/>
                <w:lang w:bidi="ar-SA"/>
              </w:rPr>
            </w:pPr>
            <w:r>
              <w:rPr>
                <w:rFonts w:eastAsia="Times New Roman" w:ascii="Cambria" w:hAnsi="Cambria"/>
                <w:sz w:val="18"/>
                <w:szCs w:val="20"/>
                <w:lang w:bidi="ar-SA"/>
              </w:rPr>
              <w:t>Авансы выданные поставщикам</w:t>
            </w:r>
          </w:p>
        </w:tc>
        <w:tc>
          <w:tcPr>
            <w:tcW w:w="1641" w:type="dxa"/>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53 655</w:t>
            </w:r>
          </w:p>
        </w:tc>
        <w:tc>
          <w:tcPr>
            <w:tcW w:w="1860" w:type="dxa"/>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76 146</w:t>
            </w:r>
          </w:p>
        </w:tc>
        <w:tc>
          <w:tcPr>
            <w:tcW w:w="1579" w:type="dxa"/>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215 141</w:t>
            </w:r>
          </w:p>
        </w:tc>
      </w:tr>
      <w:tr>
        <w:trPr>
          <w:trHeight w:val="315" w:hRule="atLeast"/>
        </w:trPr>
        <w:tc>
          <w:tcPr>
            <w:tcW w:w="3819" w:type="dxa"/>
            <w:tcBorders/>
            <w:shd w:fill="auto" w:val="clear"/>
            <w:vAlign w:val="center"/>
          </w:tcPr>
          <w:p>
            <w:pPr>
              <w:pStyle w:val="Normal"/>
              <w:ind w:right="134" w:hanging="0"/>
              <w:rPr>
                <w:rFonts w:ascii="Cambria" w:hAnsi="Cambria" w:eastAsia="Times New Roman"/>
                <w:b/>
                <w:b/>
                <w:sz w:val="18"/>
                <w:szCs w:val="20"/>
                <w:lang w:bidi="ar-SA"/>
              </w:rPr>
            </w:pPr>
            <w:r>
              <w:rPr>
                <w:rFonts w:eastAsia="Times New Roman" w:ascii="Cambria" w:hAnsi="Cambria"/>
                <w:b/>
                <w:sz w:val="18"/>
                <w:szCs w:val="20"/>
                <w:lang w:bidi="ar-SA"/>
              </w:rPr>
              <w:t>Итого авансы выданные</w:t>
            </w:r>
          </w:p>
        </w:tc>
        <w:tc>
          <w:tcPr>
            <w:tcW w:w="1641" w:type="dxa"/>
            <w:tcBorders>
              <w:bottom w:val="single" w:sz="4" w:space="0" w:color="000000"/>
              <w:insideH w:val="single" w:sz="4" w:space="0" w:color="000000"/>
            </w:tcBorders>
            <w:shd w:fill="auto" w:val="clear"/>
            <w:vAlign w:val="bottom"/>
          </w:tcPr>
          <w:p>
            <w:pPr>
              <w:pStyle w:val="Normal"/>
              <w:ind w:right="134" w:hanging="0"/>
              <w:jc w:val="right"/>
              <w:rPr>
                <w:rFonts w:ascii="Cambria" w:hAnsi="Cambria" w:eastAsia="Times New Roman" w:cs="Arial"/>
                <w:b/>
                <w:b/>
                <w:sz w:val="18"/>
                <w:szCs w:val="20"/>
              </w:rPr>
            </w:pPr>
            <w:r>
              <w:rPr>
                <w:rFonts w:eastAsia="Times New Roman" w:cs="Arial" w:ascii="Cambria" w:hAnsi="Cambria"/>
                <w:b/>
                <w:sz w:val="18"/>
                <w:szCs w:val="20"/>
              </w:rPr>
              <w:t>53 655</w:t>
            </w:r>
          </w:p>
        </w:tc>
        <w:tc>
          <w:tcPr>
            <w:tcW w:w="1860" w:type="dxa"/>
            <w:tcBorders>
              <w:bottom w:val="single" w:sz="4" w:space="0" w:color="000000"/>
              <w:insideH w:val="single" w:sz="4" w:space="0" w:color="000000"/>
            </w:tcBorders>
            <w:shd w:fill="auto" w:val="clear"/>
            <w:vAlign w:val="bottom"/>
          </w:tcPr>
          <w:p>
            <w:pPr>
              <w:pStyle w:val="Normal"/>
              <w:ind w:right="134" w:hanging="0"/>
              <w:jc w:val="right"/>
              <w:rPr>
                <w:rFonts w:ascii="Cambria" w:hAnsi="Cambria" w:eastAsia="Times New Roman" w:cs="Arial"/>
                <w:b/>
                <w:b/>
                <w:sz w:val="18"/>
                <w:szCs w:val="20"/>
              </w:rPr>
            </w:pPr>
            <w:r>
              <w:rPr>
                <w:rFonts w:eastAsia="Times New Roman" w:cs="Arial" w:ascii="Cambria" w:hAnsi="Cambria"/>
                <w:b/>
                <w:sz w:val="18"/>
                <w:szCs w:val="20"/>
              </w:rPr>
              <w:t>76 146</w:t>
            </w:r>
          </w:p>
        </w:tc>
        <w:tc>
          <w:tcPr>
            <w:tcW w:w="1579" w:type="dxa"/>
            <w:tcBorders>
              <w:bottom w:val="single" w:sz="4" w:space="0" w:color="000000"/>
              <w:insideH w:val="single" w:sz="4" w:space="0" w:color="000000"/>
            </w:tcBorders>
            <w:shd w:fill="auto" w:val="clear"/>
            <w:vAlign w:val="bottom"/>
          </w:tcPr>
          <w:p>
            <w:pPr>
              <w:pStyle w:val="Normal"/>
              <w:ind w:right="134" w:hanging="0"/>
              <w:jc w:val="right"/>
              <w:rPr>
                <w:rFonts w:ascii="Cambria" w:hAnsi="Cambria" w:eastAsia="Times New Roman" w:cs="Arial"/>
                <w:b/>
                <w:b/>
                <w:sz w:val="18"/>
                <w:szCs w:val="20"/>
              </w:rPr>
            </w:pPr>
            <w:r>
              <w:rPr>
                <w:rFonts w:eastAsia="Times New Roman" w:cs="Arial" w:ascii="Cambria" w:hAnsi="Cambria"/>
                <w:b/>
                <w:sz w:val="18"/>
                <w:szCs w:val="20"/>
              </w:rPr>
              <w:t>215 141</w:t>
            </w:r>
          </w:p>
        </w:tc>
      </w:tr>
      <w:tr>
        <w:trPr>
          <w:trHeight w:val="330" w:hRule="atLeast"/>
        </w:trPr>
        <w:tc>
          <w:tcPr>
            <w:tcW w:w="3819" w:type="dxa"/>
            <w:tcBorders/>
            <w:shd w:fill="auto" w:val="clear"/>
            <w:vAlign w:val="bottom"/>
          </w:tcPr>
          <w:p>
            <w:pPr>
              <w:pStyle w:val="Normal"/>
              <w:ind w:right="134" w:hanging="0"/>
              <w:rPr>
                <w:rFonts w:ascii="Cambria" w:hAnsi="Cambria" w:eastAsia="Times New Roman"/>
                <w:sz w:val="18"/>
                <w:szCs w:val="20"/>
                <w:lang w:bidi="ar-SA"/>
              </w:rPr>
            </w:pPr>
            <w:r>
              <w:rPr>
                <w:rFonts w:eastAsia="Times New Roman" w:ascii="Cambria" w:hAnsi="Cambria"/>
                <w:sz w:val="18"/>
                <w:szCs w:val="20"/>
                <w:lang w:bidi="ar-SA"/>
              </w:rPr>
              <w:t>Резерв по авансам</w:t>
            </w:r>
          </w:p>
        </w:tc>
        <w:tc>
          <w:tcPr>
            <w:tcW w:w="1641" w:type="dxa"/>
            <w:tcBorders>
              <w:top w:val="single" w:sz="4" w:space="0" w:color="000000"/>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(1 982)</w:t>
            </w:r>
          </w:p>
        </w:tc>
        <w:tc>
          <w:tcPr>
            <w:tcW w:w="1860" w:type="dxa"/>
            <w:tcBorders>
              <w:top w:val="single" w:sz="4" w:space="0" w:color="000000"/>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(1 982)</w:t>
            </w:r>
          </w:p>
        </w:tc>
        <w:tc>
          <w:tcPr>
            <w:tcW w:w="1579" w:type="dxa"/>
            <w:tcBorders>
              <w:top w:val="single" w:sz="4" w:space="0" w:color="000000"/>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(1 982)</w:t>
            </w:r>
          </w:p>
        </w:tc>
      </w:tr>
      <w:tr>
        <w:trPr>
          <w:trHeight w:val="315" w:hRule="atLeast"/>
        </w:trPr>
        <w:tc>
          <w:tcPr>
            <w:tcW w:w="3819" w:type="dxa"/>
            <w:tcBorders/>
            <w:shd w:fill="auto" w:val="clear"/>
            <w:vAlign w:val="center"/>
          </w:tcPr>
          <w:p>
            <w:pPr>
              <w:pStyle w:val="Normal"/>
              <w:ind w:right="134" w:hanging="0"/>
              <w:rPr>
                <w:rFonts w:ascii="Cambria" w:hAnsi="Cambria" w:eastAsia="Times New Roman"/>
                <w:b/>
                <w:b/>
                <w:sz w:val="18"/>
                <w:szCs w:val="20"/>
                <w:lang w:bidi="ar-SA"/>
              </w:rPr>
            </w:pPr>
            <w:r>
              <w:rPr>
                <w:rFonts w:eastAsia="Times New Roman" w:ascii="Cambria" w:hAnsi="Cambria"/>
                <w:b/>
                <w:sz w:val="18"/>
                <w:szCs w:val="20"/>
                <w:lang w:bidi="ar-SA"/>
              </w:rPr>
              <w:t>Дебиторская задолженность - нетто</w:t>
            </w:r>
          </w:p>
        </w:tc>
        <w:tc>
          <w:tcPr>
            <w:tcW w:w="1641"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118 254</w:t>
            </w:r>
          </w:p>
        </w:tc>
        <w:tc>
          <w:tcPr>
            <w:tcW w:w="18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85 650</w:t>
            </w:r>
          </w:p>
        </w:tc>
        <w:tc>
          <w:tcPr>
            <w:tcW w:w="157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213 859</w:t>
            </w:r>
          </w:p>
        </w:tc>
      </w:tr>
    </w:tbl>
    <w:p>
      <w:pPr>
        <w:pStyle w:val="ListParagraph"/>
        <w:keepLines/>
        <w:numPr>
          <w:ilvl w:val="0"/>
          <w:numId w:val="0"/>
        </w:numPr>
        <w:spacing w:before="120" w:after="120"/>
        <w:ind w:left="0" w:right="136" w:hanging="0"/>
        <w:jc w:val="both"/>
        <w:outlineLvl w:val="0"/>
        <w:rPr>
          <w:rFonts w:ascii="Cambria" w:hAnsi="Cambria" w:eastAsia="Times New Roman"/>
          <w:sz w:val="20"/>
          <w:szCs w:val="20"/>
        </w:rPr>
      </w:pPr>
      <w:r>
        <w:rPr>
          <w:rFonts w:eastAsia="Times New Roman" w:ascii="Cambria" w:hAnsi="Cambria"/>
          <w:sz w:val="20"/>
          <w:szCs w:val="20"/>
        </w:rPr>
      </w:r>
    </w:p>
    <w:tbl>
      <w:tblPr>
        <w:tblW w:w="8900" w:type="dxa"/>
        <w:jc w:val="left"/>
        <w:tblInd w:w="1" w:type="dxa"/>
        <w:tblBorders/>
        <w:tblCellMar>
          <w:top w:w="0" w:type="dxa"/>
          <w:left w:w="108" w:type="dxa"/>
          <w:bottom w:w="0" w:type="dxa"/>
          <w:right w:w="108" w:type="dxa"/>
        </w:tblCellMar>
        <w:tblLook w:firstRow="1" w:noVBand="1" w:lastRow="0" w:firstColumn="1" w:lastColumn="0" w:noHBand="0" w:val="04a0"/>
      </w:tblPr>
      <w:tblGrid>
        <w:gridCol w:w="3819"/>
        <w:gridCol w:w="1641"/>
        <w:gridCol w:w="1860"/>
        <w:gridCol w:w="1579"/>
      </w:tblGrid>
      <w:tr>
        <w:trPr>
          <w:trHeight w:val="300" w:hRule="atLeast"/>
        </w:trPr>
        <w:tc>
          <w:tcPr>
            <w:tcW w:w="3819"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641"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86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57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01 января</w:t>
            </w:r>
          </w:p>
        </w:tc>
      </w:tr>
      <w:tr>
        <w:trPr>
          <w:trHeight w:val="315" w:hRule="atLeast"/>
        </w:trPr>
        <w:tc>
          <w:tcPr>
            <w:tcW w:w="3819" w:type="dxa"/>
            <w:tcBorders/>
            <w:shd w:fill="auto" w:val="clear"/>
            <w:vAlign w:val="bottom"/>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1641"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2018 года</w:t>
            </w:r>
          </w:p>
        </w:tc>
        <w:tc>
          <w:tcPr>
            <w:tcW w:w="18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c>
          <w:tcPr>
            <w:tcW w:w="157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r>
      <w:tr>
        <w:trPr>
          <w:trHeight w:val="300" w:hRule="atLeast"/>
        </w:trPr>
        <w:tc>
          <w:tcPr>
            <w:tcW w:w="3819" w:type="dxa"/>
            <w:tcBorders/>
            <w:shd w:fill="auto" w:val="clear"/>
            <w:vAlign w:val="bottom"/>
          </w:tcPr>
          <w:p>
            <w:pPr>
              <w:pStyle w:val="Normal"/>
              <w:ind w:right="134" w:hanging="0"/>
              <w:rPr>
                <w:rFonts w:ascii="Calibri" w:hAnsi="Calibri" w:eastAsia="Times New Roman" w:cs="Calibri"/>
                <w:i/>
                <w:i/>
                <w:iCs/>
                <w:color w:val="000000"/>
                <w:sz w:val="22"/>
                <w:szCs w:val="22"/>
                <w:lang w:bidi="ar-SA"/>
              </w:rPr>
            </w:pPr>
            <w:r>
              <w:rPr>
                <w:rFonts w:eastAsia="Times New Roman" w:ascii="Cambria" w:hAnsi="Cambria"/>
                <w:b/>
                <w:i/>
                <w:sz w:val="18"/>
                <w:szCs w:val="20"/>
                <w:lang w:bidi="ar-SA"/>
              </w:rPr>
              <w:t>Долгосрочные авансы</w:t>
            </w:r>
            <w:r>
              <w:rPr>
                <w:rFonts w:eastAsia="Times New Roman" w:cs="Calibri"/>
                <w:i/>
                <w:iCs/>
                <w:color w:val="000000"/>
                <w:sz w:val="22"/>
                <w:szCs w:val="22"/>
                <w:lang w:bidi="ar-SA"/>
              </w:rPr>
              <w:t xml:space="preserve"> </w:t>
            </w:r>
          </w:p>
        </w:tc>
        <w:tc>
          <w:tcPr>
            <w:tcW w:w="1641" w:type="dxa"/>
            <w:tcBorders/>
            <w:shd w:fill="auto" w:val="clear"/>
            <w:vAlign w:val="bottom"/>
          </w:tcPr>
          <w:p>
            <w:pPr>
              <w:pStyle w:val="Normal"/>
              <w:rPr>
                <w:rFonts w:ascii="Calibri" w:hAnsi="Calibri" w:eastAsia="Times New Roman" w:cs="Calibri"/>
                <w:i/>
                <w:i/>
                <w:iCs/>
                <w:color w:val="000000"/>
                <w:sz w:val="22"/>
                <w:szCs w:val="22"/>
                <w:lang w:bidi="ar-SA"/>
              </w:rPr>
            </w:pPr>
            <w:r>
              <w:rPr>
                <w:rFonts w:eastAsia="Times New Roman" w:cs="Calibri"/>
                <w:i/>
                <w:iCs/>
                <w:color w:val="000000"/>
                <w:sz w:val="22"/>
                <w:szCs w:val="22"/>
                <w:lang w:bidi="ar-SA"/>
              </w:rPr>
            </w:r>
          </w:p>
        </w:tc>
        <w:tc>
          <w:tcPr>
            <w:tcW w:w="1860"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79"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30" w:hRule="atLeast"/>
        </w:trPr>
        <w:tc>
          <w:tcPr>
            <w:tcW w:w="3819" w:type="dxa"/>
            <w:tcBorders/>
            <w:shd w:fill="auto" w:val="clear"/>
            <w:vAlign w:val="center"/>
          </w:tcPr>
          <w:p>
            <w:pPr>
              <w:pStyle w:val="Normal"/>
              <w:ind w:right="134" w:hanging="0"/>
              <w:rPr>
                <w:rFonts w:ascii="Cambria" w:hAnsi="Cambria" w:eastAsia="Times New Roman" w:cs="Calibri"/>
                <w:color w:val="000000"/>
                <w:sz w:val="18"/>
                <w:szCs w:val="18"/>
                <w:lang w:bidi="ar-SA"/>
              </w:rPr>
            </w:pPr>
            <w:r>
              <w:rPr>
                <w:rFonts w:eastAsia="Times New Roman" w:ascii="Cambria" w:hAnsi="Cambria"/>
                <w:sz w:val="18"/>
                <w:szCs w:val="20"/>
                <w:lang w:bidi="ar-SA"/>
              </w:rPr>
              <w:t>Авансы выданные за ОС</w:t>
            </w:r>
          </w:p>
        </w:tc>
        <w:tc>
          <w:tcPr>
            <w:tcW w:w="1641" w:type="dxa"/>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24 978</w:t>
            </w:r>
          </w:p>
        </w:tc>
        <w:tc>
          <w:tcPr>
            <w:tcW w:w="1860" w:type="dxa"/>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3 520</w:t>
            </w:r>
          </w:p>
        </w:tc>
        <w:tc>
          <w:tcPr>
            <w:tcW w:w="1579" w:type="dxa"/>
            <w:tcBorders/>
            <w:shd w:fill="auto" w:val="clear"/>
            <w:vAlign w:val="bottom"/>
          </w:tcPr>
          <w:p>
            <w:pPr>
              <w:pStyle w:val="Normal"/>
              <w:ind w:right="134" w:hanging="0"/>
              <w:jc w:val="right"/>
              <w:rPr>
                <w:rFonts w:ascii="Cambria" w:hAnsi="Cambria" w:eastAsia="Times New Roman" w:cs="Arial"/>
                <w:sz w:val="18"/>
                <w:szCs w:val="20"/>
              </w:rPr>
            </w:pPr>
            <w:r>
              <w:rPr>
                <w:rFonts w:eastAsia="Times New Roman" w:cs="Arial" w:ascii="Cambria" w:hAnsi="Cambria"/>
                <w:sz w:val="18"/>
                <w:szCs w:val="20"/>
              </w:rPr>
              <w:t>-</w:t>
            </w:r>
          </w:p>
        </w:tc>
      </w:tr>
      <w:tr>
        <w:trPr>
          <w:trHeight w:val="315" w:hRule="atLeast"/>
        </w:trPr>
        <w:tc>
          <w:tcPr>
            <w:tcW w:w="3819" w:type="dxa"/>
            <w:tcBorders/>
            <w:shd w:fill="auto" w:val="clear"/>
            <w:vAlign w:val="bottom"/>
          </w:tcPr>
          <w:p>
            <w:pPr>
              <w:pStyle w:val="Normal"/>
              <w:ind w:right="134" w:hanging="0"/>
              <w:rPr>
                <w:rFonts w:ascii="Calibri" w:hAnsi="Calibri" w:eastAsia="Times New Roman" w:cs="Calibri"/>
                <w:color w:val="000000"/>
                <w:sz w:val="22"/>
                <w:szCs w:val="22"/>
                <w:lang w:bidi="ar-SA"/>
              </w:rPr>
            </w:pPr>
            <w:r>
              <w:rPr>
                <w:rFonts w:eastAsia="Times New Roman" w:ascii="Cambria" w:hAnsi="Cambria"/>
                <w:b/>
                <w:sz w:val="18"/>
                <w:szCs w:val="20"/>
                <w:lang w:bidi="ar-SA"/>
              </w:rPr>
              <w:t>Авансы долгосрочные</w:t>
            </w:r>
          </w:p>
        </w:tc>
        <w:tc>
          <w:tcPr>
            <w:tcW w:w="1641" w:type="dxa"/>
            <w:tcBorders>
              <w:top w:val="single" w:sz="8" w:space="0" w:color="000000"/>
              <w:bottom w:val="double" w:sz="6" w:space="0" w:color="000000"/>
              <w:insideH w:val="double" w:sz="6" w:space="0" w:color="000000"/>
            </w:tcBorders>
            <w:shd w:fill="auto" w:val="clear"/>
            <w:vAlign w:val="center"/>
          </w:tcPr>
          <w:p>
            <w:pPr>
              <w:pStyle w:val="Normal"/>
              <w:ind w:right="134" w:hanging="0"/>
              <w:jc w:val="right"/>
              <w:rPr>
                <w:rFonts w:ascii="Cambria" w:hAnsi="Cambria" w:eastAsia="Times New Roman" w:cs="Arial"/>
                <w:b/>
                <w:b/>
                <w:sz w:val="18"/>
                <w:szCs w:val="20"/>
              </w:rPr>
            </w:pPr>
            <w:r>
              <w:rPr>
                <w:rFonts w:eastAsia="Times New Roman" w:cs="Arial" w:ascii="Cambria" w:hAnsi="Cambria"/>
                <w:b/>
                <w:sz w:val="18"/>
                <w:szCs w:val="20"/>
              </w:rPr>
              <w:t>24 978</w:t>
            </w:r>
          </w:p>
        </w:tc>
        <w:tc>
          <w:tcPr>
            <w:tcW w:w="1860" w:type="dxa"/>
            <w:tcBorders>
              <w:top w:val="single" w:sz="8" w:space="0" w:color="000000"/>
              <w:bottom w:val="double" w:sz="6" w:space="0" w:color="000000"/>
              <w:insideH w:val="double" w:sz="6" w:space="0" w:color="000000"/>
            </w:tcBorders>
            <w:shd w:fill="auto" w:val="clear"/>
            <w:vAlign w:val="center"/>
          </w:tcPr>
          <w:p>
            <w:pPr>
              <w:pStyle w:val="Normal"/>
              <w:ind w:right="134" w:hanging="0"/>
              <w:jc w:val="right"/>
              <w:rPr>
                <w:rFonts w:ascii="Cambria" w:hAnsi="Cambria" w:eastAsia="Times New Roman" w:cs="Arial"/>
                <w:b/>
                <w:b/>
                <w:sz w:val="18"/>
                <w:szCs w:val="20"/>
              </w:rPr>
            </w:pPr>
            <w:r>
              <w:rPr>
                <w:rFonts w:eastAsia="Times New Roman" w:cs="Arial" w:ascii="Cambria" w:hAnsi="Cambria"/>
                <w:b/>
                <w:sz w:val="18"/>
                <w:szCs w:val="20"/>
              </w:rPr>
              <w:t>3 520</w:t>
            </w:r>
          </w:p>
        </w:tc>
        <w:tc>
          <w:tcPr>
            <w:tcW w:w="1579" w:type="dxa"/>
            <w:tcBorders>
              <w:top w:val="single" w:sz="8" w:space="0" w:color="000000"/>
              <w:bottom w:val="double" w:sz="6" w:space="0" w:color="000000"/>
              <w:insideH w:val="double" w:sz="6" w:space="0" w:color="000000"/>
            </w:tcBorders>
            <w:shd w:fill="auto" w:val="clear"/>
            <w:vAlign w:val="center"/>
          </w:tcPr>
          <w:p>
            <w:pPr>
              <w:pStyle w:val="Normal"/>
              <w:ind w:right="134" w:hanging="0"/>
              <w:jc w:val="right"/>
              <w:rPr>
                <w:rFonts w:ascii="Cambria" w:hAnsi="Cambria" w:eastAsia="Times New Roman" w:cs="Arial"/>
                <w:b/>
                <w:b/>
                <w:sz w:val="18"/>
                <w:szCs w:val="20"/>
              </w:rPr>
            </w:pPr>
            <w:r>
              <w:rPr>
                <w:rFonts w:eastAsia="Times New Roman" w:cs="Arial" w:ascii="Cambria" w:hAnsi="Cambria"/>
                <w:b/>
                <w:sz w:val="18"/>
                <w:szCs w:val="20"/>
              </w:rPr>
              <w:t>-</w:t>
            </w:r>
          </w:p>
        </w:tc>
      </w:tr>
    </w:tbl>
    <w:p>
      <w:pPr>
        <w:pStyle w:val="ListParagraph"/>
        <w:keepLines/>
        <w:numPr>
          <w:ilvl w:val="0"/>
          <w:numId w:val="0"/>
        </w:numPr>
        <w:spacing w:before="120" w:after="120"/>
        <w:ind w:left="0" w:right="136" w:hanging="0"/>
        <w:jc w:val="both"/>
        <w:outlineLvl w:val="0"/>
        <w:rPr>
          <w:rFonts w:ascii="Cambria" w:hAnsi="Cambria" w:eastAsia="Times New Roman"/>
          <w:sz w:val="20"/>
          <w:szCs w:val="20"/>
        </w:rPr>
      </w:pPr>
      <w:r>
        <w:rPr>
          <w:rFonts w:eastAsia="Times New Roman" w:ascii="Cambria" w:hAnsi="Cambria"/>
          <w:sz w:val="20"/>
          <w:szCs w:val="20"/>
        </w:rPr>
      </w:r>
    </w:p>
    <w:p>
      <w:pPr>
        <w:pStyle w:val="ListParagraph"/>
        <w:keepLines/>
        <w:numPr>
          <w:ilvl w:val="0"/>
          <w:numId w:val="0"/>
        </w:numPr>
        <w:spacing w:before="120" w:after="120"/>
        <w:ind w:left="0" w:right="136" w:hanging="0"/>
        <w:jc w:val="both"/>
        <w:outlineLvl w:val="0"/>
        <w:rPr>
          <w:rFonts w:ascii="Cambria" w:hAnsi="Cambria" w:eastAsia="Times New Roman"/>
          <w:sz w:val="20"/>
          <w:szCs w:val="20"/>
        </w:rPr>
      </w:pPr>
      <w:r>
        <w:rPr>
          <w:rFonts w:eastAsia="Times New Roman" w:ascii="Cambria" w:hAnsi="Cambria"/>
          <w:sz w:val="20"/>
          <w:szCs w:val="20"/>
        </w:rPr>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r>
    </w:p>
    <w:p>
      <w:pPr>
        <w:pStyle w:val="ListParagraph"/>
        <w:keepLines/>
        <w:numPr>
          <w:ilvl w:val="0"/>
          <w:numId w:val="1"/>
        </w:numPr>
        <w:spacing w:before="120" w:after="120"/>
        <w:ind w:left="0" w:right="136" w:hanging="0"/>
        <w:jc w:val="both"/>
        <w:outlineLvl w:val="0"/>
        <w:rPr>
          <w:rFonts w:ascii="Cambria" w:hAnsi="Cambria" w:eastAsia="Times New Roman"/>
          <w:b/>
          <w:b/>
          <w:bCs/>
          <w:szCs w:val="20"/>
          <w:lang w:bidi="ar-SA"/>
        </w:rPr>
      </w:pPr>
      <w:bookmarkStart w:id="28" w:name="_Toc511723888"/>
      <w:bookmarkStart w:id="29" w:name="_Toc484002999"/>
      <w:r>
        <w:rPr>
          <w:rFonts w:eastAsia="Times New Roman" w:ascii="Cambria" w:hAnsi="Cambria"/>
          <w:b/>
          <w:bCs/>
          <w:szCs w:val="20"/>
          <w:lang w:bidi="ar-SA"/>
        </w:rPr>
        <w:t>ДЕНЕЖНЫЕ СРЕДСТВА И ИХ ЭКВИВАЛЕНТЫ</w:t>
      </w:r>
      <w:bookmarkEnd w:id="28"/>
      <w:bookmarkEnd w:id="29"/>
    </w:p>
    <w:p>
      <w:pPr>
        <w:pStyle w:val="Normal"/>
        <w:spacing w:before="120" w:after="120"/>
        <w:ind w:right="136" w:hanging="0"/>
        <w:jc w:val="both"/>
        <w:rPr>
          <w:rFonts w:ascii="Cambria" w:hAnsi="Cambria" w:eastAsia="Times New Roman" w:cs="Arial"/>
          <w:sz w:val="20"/>
          <w:szCs w:val="20"/>
        </w:rPr>
      </w:pPr>
      <w:r>
        <w:rPr>
          <w:rFonts w:eastAsia="Times New Roman" w:cs="Arial" w:ascii="Cambria" w:hAnsi="Cambria"/>
          <w:sz w:val="20"/>
          <w:szCs w:val="20"/>
        </w:rPr>
      </w:r>
    </w:p>
    <w:p>
      <w:pPr>
        <w:pStyle w:val="Normal"/>
        <w:spacing w:before="120" w:after="120"/>
        <w:ind w:right="136" w:hanging="0"/>
        <w:jc w:val="both"/>
        <w:rPr>
          <w:rFonts w:ascii="Cambria" w:hAnsi="Cambria" w:eastAsia="Times New Roman" w:cs="Arial"/>
          <w:sz w:val="20"/>
          <w:szCs w:val="20"/>
        </w:rPr>
      </w:pPr>
      <w:r>
        <w:rPr>
          <w:rFonts w:eastAsia="Times New Roman" w:cs="Arial" w:ascii="Cambria" w:hAnsi="Cambria"/>
          <w:sz w:val="20"/>
          <w:szCs w:val="20"/>
        </w:rPr>
      </w:r>
    </w:p>
    <w:tbl>
      <w:tblPr>
        <w:tblW w:w="9498" w:type="dxa"/>
        <w:jc w:val="left"/>
        <w:tblInd w:w="1" w:type="dxa"/>
        <w:tblBorders/>
        <w:tblCellMar>
          <w:top w:w="0" w:type="dxa"/>
          <w:left w:w="108" w:type="dxa"/>
          <w:bottom w:w="0" w:type="dxa"/>
          <w:right w:w="108" w:type="dxa"/>
        </w:tblCellMar>
        <w:tblLook w:firstRow="1" w:noVBand="1" w:lastRow="0" w:firstColumn="1" w:lastColumn="0" w:noHBand="0" w:val="04a0"/>
      </w:tblPr>
      <w:tblGrid>
        <w:gridCol w:w="3420"/>
        <w:gridCol w:w="2319"/>
        <w:gridCol w:w="2000"/>
        <w:gridCol w:w="1758"/>
      </w:tblGrid>
      <w:tr>
        <w:trPr>
          <w:trHeight w:val="375" w:hRule="atLeast"/>
        </w:trPr>
        <w:tc>
          <w:tcPr>
            <w:tcW w:w="3420"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31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200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758"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01 января</w:t>
            </w:r>
          </w:p>
        </w:tc>
      </w:tr>
      <w:tr>
        <w:trPr>
          <w:trHeight w:val="375" w:hRule="atLeast"/>
        </w:trPr>
        <w:tc>
          <w:tcPr>
            <w:tcW w:w="342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231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2018 года</w:t>
            </w:r>
          </w:p>
        </w:tc>
        <w:tc>
          <w:tcPr>
            <w:tcW w:w="200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c>
          <w:tcPr>
            <w:tcW w:w="1758"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r>
      <w:tr>
        <w:trPr>
          <w:trHeight w:val="300" w:hRule="atLeast"/>
        </w:trPr>
        <w:tc>
          <w:tcPr>
            <w:tcW w:w="3420" w:type="dxa"/>
            <w:tcBorders/>
            <w:shd w:fill="auto" w:val="clear"/>
            <w:vAlign w:val="center"/>
          </w:tcPr>
          <w:p>
            <w:pPr>
              <w:pStyle w:val="Normal"/>
              <w:rPr>
                <w:rFonts w:ascii="Times New Roman" w:hAnsi="Times New Roman" w:eastAsia="Times New Roman"/>
                <w:b/>
                <w:b/>
                <w:bCs/>
                <w:color w:val="000000"/>
                <w:sz w:val="20"/>
                <w:szCs w:val="20"/>
                <w:lang w:bidi="ar-SA"/>
              </w:rPr>
            </w:pPr>
            <w:r>
              <w:rPr>
                <w:rFonts w:eastAsia="Times New Roman" w:ascii="Times New Roman" w:hAnsi="Times New Roman"/>
                <w:b/>
                <w:bCs/>
                <w:color w:val="000000"/>
                <w:sz w:val="20"/>
                <w:szCs w:val="20"/>
                <w:lang w:bidi="ar-SA"/>
              </w:rPr>
              <w:t>Денежные средства в банке</w:t>
            </w:r>
          </w:p>
        </w:tc>
        <w:tc>
          <w:tcPr>
            <w:tcW w:w="2319" w:type="dxa"/>
            <w:tcBorders/>
            <w:shd w:fill="auto" w:val="clear"/>
            <w:vAlign w:val="center"/>
          </w:tcPr>
          <w:p>
            <w:pPr>
              <w:pStyle w:val="Normal"/>
              <w:rPr>
                <w:rFonts w:ascii="Times New Roman" w:hAnsi="Times New Roman" w:eastAsia="Times New Roman"/>
                <w:b/>
                <w:b/>
                <w:bCs/>
                <w:color w:val="000000"/>
                <w:sz w:val="20"/>
                <w:szCs w:val="20"/>
                <w:lang w:bidi="ar-SA"/>
              </w:rPr>
            </w:pPr>
            <w:r>
              <w:rPr>
                <w:rFonts w:eastAsia="Times New Roman" w:ascii="Times New Roman" w:hAnsi="Times New Roman"/>
                <w:b/>
                <w:bCs/>
                <w:color w:val="000000"/>
                <w:sz w:val="20"/>
                <w:szCs w:val="20"/>
                <w:lang w:bidi="ar-SA"/>
              </w:rPr>
            </w:r>
          </w:p>
        </w:tc>
        <w:tc>
          <w:tcPr>
            <w:tcW w:w="2000"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758"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15" w:hRule="atLeast"/>
        </w:trPr>
        <w:tc>
          <w:tcPr>
            <w:tcW w:w="34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Денежные средства в банке, рубли</w:t>
            </w:r>
          </w:p>
        </w:tc>
        <w:tc>
          <w:tcPr>
            <w:tcW w:w="2319" w:type="dxa"/>
            <w:tcBorders/>
            <w:shd w:fill="auto" w:val="clear"/>
            <w:vAlign w:val="center"/>
          </w:tcPr>
          <w:p>
            <w:pPr>
              <w:pStyle w:val="Normal"/>
              <w:jc w:val="right"/>
              <w:rPr>
                <w:rFonts w:ascii="Cambria" w:hAnsi="Cambria" w:eastAsia="Times New Roman"/>
                <w:color w:val="000000"/>
                <w:sz w:val="18"/>
                <w:szCs w:val="18"/>
                <w:lang w:bidi="ar-SA"/>
              </w:rPr>
            </w:pPr>
            <w:r>
              <w:rPr>
                <w:rFonts w:ascii="Cambria" w:hAnsi="Cambria"/>
                <w:color w:val="000000"/>
                <w:sz w:val="18"/>
                <w:szCs w:val="18"/>
              </w:rPr>
              <w:t>56 657</w:t>
            </w:r>
          </w:p>
        </w:tc>
        <w:tc>
          <w:tcPr>
            <w:tcW w:w="2000" w:type="dxa"/>
            <w:tcBorders/>
            <w:shd w:fill="auto" w:val="clear"/>
            <w:vAlign w:val="center"/>
          </w:tcPr>
          <w:p>
            <w:pPr>
              <w:pStyle w:val="Normal"/>
              <w:jc w:val="right"/>
              <w:rPr>
                <w:rFonts w:ascii="Cambria" w:hAnsi="Cambria" w:eastAsia="Times New Roman" w:cs="Calibri"/>
                <w:color w:val="404040"/>
                <w:sz w:val="18"/>
                <w:szCs w:val="18"/>
                <w:lang w:bidi="ar-SA"/>
              </w:rPr>
            </w:pPr>
            <w:r>
              <w:rPr>
                <w:rFonts w:cs="Calibri" w:ascii="Cambria" w:hAnsi="Cambria"/>
                <w:color w:val="404040"/>
                <w:sz w:val="18"/>
                <w:szCs w:val="18"/>
              </w:rPr>
              <w:t>279 004</w:t>
            </w:r>
          </w:p>
        </w:tc>
        <w:tc>
          <w:tcPr>
            <w:tcW w:w="1758" w:type="dxa"/>
            <w:tcBorders/>
            <w:shd w:fill="auto" w:val="clear"/>
            <w:vAlign w:val="center"/>
          </w:tcPr>
          <w:p>
            <w:pPr>
              <w:pStyle w:val="Normal"/>
              <w:jc w:val="right"/>
              <w:rPr>
                <w:rFonts w:ascii="Cambria" w:hAnsi="Cambria" w:eastAsia="Times New Roman" w:cs="Calibri"/>
                <w:color w:val="404040"/>
                <w:sz w:val="18"/>
                <w:szCs w:val="18"/>
                <w:lang w:bidi="ar-SA"/>
              </w:rPr>
            </w:pPr>
            <w:r>
              <w:rPr>
                <w:rFonts w:cs="Calibri" w:ascii="Cambria" w:hAnsi="Cambria"/>
                <w:color w:val="404040"/>
                <w:sz w:val="18"/>
                <w:szCs w:val="18"/>
              </w:rPr>
              <w:t>196 574</w:t>
            </w:r>
          </w:p>
        </w:tc>
      </w:tr>
      <w:tr>
        <w:trPr>
          <w:trHeight w:val="300" w:hRule="atLeast"/>
        </w:trPr>
        <w:tc>
          <w:tcPr>
            <w:tcW w:w="34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Денежные средства в кассе</w:t>
            </w:r>
          </w:p>
        </w:tc>
        <w:tc>
          <w:tcPr>
            <w:tcW w:w="2319" w:type="dxa"/>
            <w:tcBorders/>
            <w:shd w:fill="auto" w:val="clear"/>
            <w:vAlign w:val="center"/>
          </w:tcPr>
          <w:p>
            <w:pPr>
              <w:pStyle w:val="Normal"/>
              <w:jc w:val="right"/>
              <w:rPr>
                <w:rFonts w:ascii="Cambria" w:hAnsi="Cambria" w:eastAsia="Times New Roman"/>
                <w:color w:val="000000"/>
                <w:sz w:val="18"/>
                <w:szCs w:val="18"/>
                <w:lang w:bidi="ar-SA"/>
              </w:rPr>
            </w:pPr>
            <w:r>
              <w:rPr>
                <w:rFonts w:ascii="Cambria" w:hAnsi="Cambria"/>
                <w:color w:val="000000"/>
                <w:sz w:val="18"/>
                <w:szCs w:val="18"/>
              </w:rPr>
              <w:t>8</w:t>
            </w:r>
          </w:p>
        </w:tc>
        <w:tc>
          <w:tcPr>
            <w:tcW w:w="2000" w:type="dxa"/>
            <w:tcBorders/>
            <w:shd w:fill="auto" w:val="clear"/>
            <w:vAlign w:val="center"/>
          </w:tcPr>
          <w:p>
            <w:pPr>
              <w:pStyle w:val="Normal"/>
              <w:jc w:val="right"/>
              <w:rPr>
                <w:rFonts w:ascii="Cambria" w:hAnsi="Cambria" w:eastAsia="Times New Roman" w:cs="Calibri"/>
                <w:color w:val="404040"/>
                <w:sz w:val="18"/>
                <w:szCs w:val="18"/>
                <w:lang w:bidi="ar-SA"/>
              </w:rPr>
            </w:pPr>
            <w:r>
              <w:rPr>
                <w:rFonts w:cs="Calibri" w:ascii="Cambria" w:hAnsi="Cambria"/>
                <w:color w:val="404040"/>
                <w:sz w:val="18"/>
                <w:szCs w:val="18"/>
              </w:rPr>
              <w:t>3</w:t>
            </w:r>
          </w:p>
        </w:tc>
        <w:tc>
          <w:tcPr>
            <w:tcW w:w="1758" w:type="dxa"/>
            <w:tcBorders/>
            <w:shd w:fill="auto" w:val="clear"/>
            <w:vAlign w:val="center"/>
          </w:tcPr>
          <w:p>
            <w:pPr>
              <w:pStyle w:val="Normal"/>
              <w:jc w:val="right"/>
              <w:rPr>
                <w:rFonts w:ascii="Cambria" w:hAnsi="Cambria" w:eastAsia="Times New Roman" w:cs="Calibri"/>
                <w:color w:val="404040"/>
                <w:sz w:val="18"/>
                <w:szCs w:val="18"/>
                <w:lang w:bidi="ar-SA"/>
              </w:rPr>
            </w:pPr>
            <w:r>
              <w:rPr>
                <w:rFonts w:cs="Calibri" w:ascii="Cambria" w:hAnsi="Cambria"/>
                <w:color w:val="404040"/>
                <w:sz w:val="18"/>
                <w:szCs w:val="18"/>
              </w:rPr>
              <w:t>8</w:t>
            </w:r>
          </w:p>
        </w:tc>
      </w:tr>
      <w:tr>
        <w:trPr>
          <w:trHeight w:val="300" w:hRule="atLeast"/>
        </w:trPr>
        <w:tc>
          <w:tcPr>
            <w:tcW w:w="3420" w:type="dxa"/>
            <w:tcBorders/>
            <w:shd w:fill="auto" w:val="clear"/>
            <w:vAlign w:val="bottom"/>
          </w:tcPr>
          <w:p>
            <w:pPr>
              <w:pStyle w:val="Normal"/>
              <w:rPr>
                <w:rFonts w:ascii="Times New Roman" w:hAnsi="Times New Roman" w:eastAsia="Times New Roman"/>
                <w:sz w:val="16"/>
                <w:szCs w:val="16"/>
                <w:lang w:bidi="ar-SA"/>
              </w:rPr>
            </w:pPr>
            <w:r>
              <w:rPr>
                <w:rFonts w:eastAsia="Times New Roman" w:ascii="Times New Roman" w:hAnsi="Times New Roman"/>
                <w:sz w:val="16"/>
                <w:szCs w:val="16"/>
                <w:lang w:bidi="ar-SA"/>
              </w:rPr>
              <w:t>Банковские депозиты (до 90 дн) в рублях</w:t>
            </w:r>
          </w:p>
        </w:tc>
        <w:tc>
          <w:tcPr>
            <w:tcW w:w="2319" w:type="dxa"/>
            <w:tcBorders/>
            <w:shd w:fill="auto" w:val="clear"/>
            <w:vAlign w:val="center"/>
          </w:tcPr>
          <w:p>
            <w:pPr>
              <w:pStyle w:val="Normal"/>
              <w:jc w:val="right"/>
              <w:rPr>
                <w:rFonts w:ascii="Cambria" w:hAnsi="Cambria" w:eastAsia="Times New Roman"/>
                <w:color w:val="000000"/>
                <w:sz w:val="18"/>
                <w:szCs w:val="18"/>
                <w:lang w:bidi="ar-SA"/>
              </w:rPr>
            </w:pPr>
            <w:r>
              <w:rPr>
                <w:rFonts w:ascii="Cambria" w:hAnsi="Cambria"/>
                <w:color w:val="000000"/>
                <w:sz w:val="18"/>
                <w:szCs w:val="18"/>
              </w:rPr>
              <w:t>39 000</w:t>
            </w:r>
          </w:p>
        </w:tc>
        <w:tc>
          <w:tcPr>
            <w:tcW w:w="2000" w:type="dxa"/>
            <w:tcBorders/>
            <w:shd w:fill="auto" w:val="clear"/>
            <w:vAlign w:val="center"/>
          </w:tcPr>
          <w:p>
            <w:pPr>
              <w:pStyle w:val="Normal"/>
              <w:jc w:val="right"/>
              <w:rPr>
                <w:rFonts w:ascii="Cambria" w:hAnsi="Cambria" w:eastAsia="Times New Roman" w:cs="Calibri"/>
                <w:color w:val="404040"/>
                <w:sz w:val="18"/>
                <w:szCs w:val="18"/>
                <w:lang w:bidi="ar-SA"/>
              </w:rPr>
            </w:pPr>
            <w:r>
              <w:rPr>
                <w:rFonts w:cs="Calibri" w:ascii="Cambria" w:hAnsi="Cambria"/>
                <w:color w:val="404040"/>
                <w:sz w:val="18"/>
                <w:szCs w:val="18"/>
              </w:rPr>
              <w:t>5 000</w:t>
            </w:r>
          </w:p>
        </w:tc>
        <w:tc>
          <w:tcPr>
            <w:tcW w:w="1758" w:type="dxa"/>
            <w:tcBorders/>
            <w:shd w:fill="auto" w:val="clear"/>
            <w:vAlign w:val="center"/>
          </w:tcPr>
          <w:p>
            <w:pPr>
              <w:pStyle w:val="Normal"/>
              <w:jc w:val="right"/>
              <w:rPr>
                <w:rFonts w:ascii="Cambria" w:hAnsi="Cambria" w:eastAsia="Times New Roman" w:cs="Calibri"/>
                <w:color w:val="404040"/>
                <w:sz w:val="18"/>
                <w:szCs w:val="18"/>
                <w:lang w:bidi="ar-SA"/>
              </w:rPr>
            </w:pPr>
            <w:r>
              <w:rPr>
                <w:rFonts w:cs="Calibri" w:ascii="Cambria" w:hAnsi="Cambria"/>
                <w:color w:val="404040"/>
                <w:sz w:val="18"/>
                <w:szCs w:val="18"/>
              </w:rPr>
              <w:t>339 000</w:t>
            </w:r>
          </w:p>
        </w:tc>
      </w:tr>
      <w:tr>
        <w:trPr>
          <w:trHeight w:val="600" w:hRule="atLeast"/>
        </w:trPr>
        <w:tc>
          <w:tcPr>
            <w:tcW w:w="3420" w:type="dxa"/>
            <w:tcBorders/>
            <w:shd w:fill="auto" w:val="clear"/>
            <w:vAlign w:val="center"/>
          </w:tcPr>
          <w:p>
            <w:pPr>
              <w:pStyle w:val="Normal"/>
              <w:rPr>
                <w:rFonts w:ascii="Cambria" w:hAnsi="Cambria" w:eastAsia="Times New Roman" w:cs="Calibri"/>
                <w:b/>
                <w:b/>
                <w:bCs/>
                <w:color w:val="404040"/>
                <w:sz w:val="20"/>
                <w:szCs w:val="20"/>
                <w:lang w:bidi="ar-SA"/>
              </w:rPr>
            </w:pPr>
            <w:r>
              <w:rPr>
                <w:rFonts w:eastAsia="Times New Roman" w:cs="Calibri" w:ascii="Cambria" w:hAnsi="Cambria"/>
                <w:b/>
                <w:bCs/>
                <w:color w:val="404040"/>
                <w:sz w:val="20"/>
                <w:szCs w:val="20"/>
                <w:lang w:bidi="ar-SA"/>
              </w:rPr>
              <w:t xml:space="preserve">Итого денежные средства и их эквиваленты </w:t>
            </w:r>
          </w:p>
        </w:tc>
        <w:tc>
          <w:tcPr>
            <w:tcW w:w="2319" w:type="dxa"/>
            <w:tcBorders>
              <w:top w:val="single" w:sz="4"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b/>
                <w:b/>
                <w:bCs/>
                <w:sz w:val="18"/>
                <w:szCs w:val="18"/>
                <w:lang w:bidi="ar-SA"/>
              </w:rPr>
            </w:pPr>
            <w:r>
              <w:rPr>
                <w:rFonts w:ascii="Cambria" w:hAnsi="Cambria"/>
                <w:b/>
                <w:bCs/>
                <w:sz w:val="18"/>
                <w:szCs w:val="18"/>
              </w:rPr>
              <w:t>95 665</w:t>
            </w:r>
          </w:p>
        </w:tc>
        <w:tc>
          <w:tcPr>
            <w:tcW w:w="2000" w:type="dxa"/>
            <w:tcBorders>
              <w:top w:val="single" w:sz="4"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b/>
                <w:b/>
                <w:bCs/>
                <w:sz w:val="18"/>
                <w:szCs w:val="18"/>
                <w:lang w:bidi="ar-SA"/>
              </w:rPr>
            </w:pPr>
            <w:r>
              <w:rPr>
                <w:rFonts w:ascii="Cambria" w:hAnsi="Cambria"/>
                <w:b/>
                <w:bCs/>
                <w:sz w:val="18"/>
                <w:szCs w:val="18"/>
              </w:rPr>
              <w:t>284 007</w:t>
            </w:r>
          </w:p>
        </w:tc>
        <w:tc>
          <w:tcPr>
            <w:tcW w:w="1758" w:type="dxa"/>
            <w:tcBorders>
              <w:top w:val="single" w:sz="4"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b/>
                <w:b/>
                <w:bCs/>
                <w:sz w:val="18"/>
                <w:szCs w:val="18"/>
                <w:lang w:bidi="ar-SA"/>
              </w:rPr>
            </w:pPr>
            <w:r>
              <w:rPr>
                <w:rFonts w:ascii="Cambria" w:hAnsi="Cambria"/>
                <w:b/>
                <w:bCs/>
                <w:sz w:val="18"/>
                <w:szCs w:val="18"/>
              </w:rPr>
              <w:t>535 582</w:t>
            </w:r>
          </w:p>
        </w:tc>
      </w:tr>
    </w:tbl>
    <w:p>
      <w:pPr>
        <w:pStyle w:val="Normal"/>
        <w:spacing w:before="120" w:after="120"/>
        <w:ind w:right="136" w:hanging="0"/>
        <w:jc w:val="both"/>
        <w:rPr>
          <w:rFonts w:ascii="Cambria" w:hAnsi="Cambria" w:eastAsia="Times New Roman" w:cs="Arial"/>
          <w:sz w:val="20"/>
          <w:szCs w:val="20"/>
        </w:rPr>
      </w:pPr>
      <w:r>
        <w:rPr>
          <w:rFonts w:eastAsia="Times New Roman" w:cs="Arial" w:ascii="Cambria" w:hAnsi="Cambria"/>
          <w:sz w:val="20"/>
          <w:szCs w:val="20"/>
        </w:rPr>
        <w:t>В состав денежных средств включены банковские депозиты на 31 декабря 2018 года в сумме 39 000 тыс. рублей, на 31 декабря 2017 – 5 000 тыс. рублей и на 01.01.2017 -339 000 тыс. рублей. Процентные ставки были 3,0 %, 10,42 и 8,92% соответственно.</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r>
    </w:p>
    <w:p>
      <w:pPr>
        <w:pStyle w:val="ListParagraph"/>
        <w:keepLines/>
        <w:numPr>
          <w:ilvl w:val="0"/>
          <w:numId w:val="1"/>
        </w:numPr>
        <w:spacing w:before="120" w:after="120"/>
        <w:ind w:left="0" w:right="134" w:hanging="0"/>
        <w:jc w:val="both"/>
        <w:outlineLvl w:val="0"/>
        <w:rPr>
          <w:rFonts w:ascii="Cambria" w:hAnsi="Cambria" w:eastAsia="Times New Roman"/>
          <w:b/>
          <w:b/>
          <w:bCs/>
          <w:szCs w:val="20"/>
          <w:lang w:bidi="ar-SA"/>
        </w:rPr>
      </w:pPr>
      <w:bookmarkStart w:id="30" w:name="_Toc511723889"/>
      <w:bookmarkStart w:id="31" w:name="_Toc484003000"/>
      <w:r>
        <w:rPr>
          <w:rFonts w:eastAsia="Times New Roman" w:ascii="Cambria" w:hAnsi="Cambria"/>
          <w:b/>
          <w:bCs/>
          <w:szCs w:val="20"/>
          <w:lang w:bidi="ar-SA"/>
        </w:rPr>
        <w:t>УСТАВНЫЙ КАПИТАЛ</w:t>
      </w:r>
      <w:bookmarkEnd w:id="30"/>
      <w:bookmarkEnd w:id="31"/>
    </w:p>
    <w:p>
      <w:pPr>
        <w:pStyle w:val="Normal"/>
        <w:spacing w:before="120" w:after="120"/>
        <w:ind w:right="134" w:hanging="0"/>
        <w:jc w:val="both"/>
        <w:rPr>
          <w:rFonts w:ascii="Cambria" w:hAnsi="Cambria"/>
          <w:sz w:val="20"/>
          <w:szCs w:val="20"/>
        </w:rPr>
      </w:pPr>
      <w:r>
        <w:rPr>
          <w:rFonts w:ascii="Cambria" w:hAnsi="Cambria"/>
          <w:sz w:val="20"/>
          <w:szCs w:val="20"/>
        </w:rPr>
        <w:t>Уставный капитал состоит из обыкновенных именных бездокументарных акций находящихся в обращении в количестве 118 000 000 штук, номинальной стоимостью 1 рубль. Акции полностью оплачены.</w:t>
      </w:r>
    </w:p>
    <w:p>
      <w:pPr>
        <w:pStyle w:val="Normal"/>
        <w:spacing w:before="120" w:after="120"/>
        <w:ind w:right="134" w:hanging="0"/>
        <w:jc w:val="both"/>
        <w:rPr>
          <w:rFonts w:ascii="Cambria" w:hAnsi="Cambria"/>
          <w:sz w:val="20"/>
          <w:szCs w:val="20"/>
        </w:rPr>
      </w:pPr>
      <w:r>
        <w:rPr>
          <w:rFonts w:ascii="Cambria" w:hAnsi="Cambria"/>
          <w:sz w:val="20"/>
          <w:szCs w:val="20"/>
        </w:rPr>
        <w:t>На 31 декабря 2018 год и 31 декабря 2017 года собственниками Группы являются акционеры физические лица, резиденты РФ: Серегин В.С с долей владения 47,21%, Серегин В.В. с долей владения 22,84%, Серегин О.В. с долей 22,74% и Янин В.И. с долей 0,13%.</w:t>
      </w:r>
    </w:p>
    <w:p>
      <w:pPr>
        <w:pStyle w:val="Normal"/>
        <w:spacing w:before="120" w:after="120"/>
        <w:ind w:right="134" w:hanging="0"/>
        <w:jc w:val="both"/>
        <w:rPr>
          <w:rFonts w:ascii="Cambria" w:hAnsi="Cambria"/>
          <w:sz w:val="20"/>
          <w:szCs w:val="20"/>
        </w:rPr>
      </w:pPr>
      <w:r>
        <w:rPr>
          <w:rFonts w:ascii="Cambria" w:hAnsi="Cambria"/>
          <w:sz w:val="20"/>
          <w:szCs w:val="20"/>
        </w:rPr>
        <w:t>За 2017 и 2018 год были решено выплатить дивиденды в сумме по 29 500 тыс. рублей.</w:t>
      </w:r>
    </w:p>
    <w:p>
      <w:pPr>
        <w:pStyle w:val="Normal"/>
        <w:spacing w:before="120" w:after="120"/>
        <w:ind w:right="134" w:hanging="0"/>
        <w:jc w:val="both"/>
        <w:rPr>
          <w:rFonts w:ascii="Cambria" w:hAnsi="Cambria"/>
          <w:sz w:val="20"/>
          <w:szCs w:val="20"/>
        </w:rPr>
      </w:pPr>
      <w:r>
        <w:rPr>
          <w:rFonts w:ascii="Cambria" w:hAnsi="Cambria"/>
          <w:sz w:val="20"/>
          <w:szCs w:val="20"/>
        </w:rPr>
        <w:t>Из прибыли были осуществлены расходы в 2018 году на сумму 35 212 тыс. рублей, с 2017 году: 52 376 тыс. рублей.</w:t>
      </w:r>
    </w:p>
    <w:p>
      <w:pPr>
        <w:pStyle w:val="Normal"/>
        <w:spacing w:before="120" w:after="120"/>
        <w:ind w:right="134" w:hanging="0"/>
        <w:jc w:val="both"/>
        <w:rPr>
          <w:rFonts w:ascii="Cambria" w:hAnsi="Cambria"/>
          <w:sz w:val="20"/>
          <w:szCs w:val="20"/>
        </w:rPr>
      </w:pPr>
      <w:r>
        <w:rPr>
          <w:rFonts w:ascii="Cambria" w:hAnsi="Cambria"/>
          <w:sz w:val="20"/>
          <w:szCs w:val="20"/>
        </w:rPr>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bookmarkStart w:id="32" w:name="_Toc511723890"/>
      <w:r>
        <w:rPr>
          <w:rFonts w:eastAsia="Times New Roman" w:cs="Arial" w:ascii="Cambria" w:hAnsi="Cambria"/>
          <w:b/>
          <w:bCs/>
          <w:kern w:val="2"/>
          <w:szCs w:val="20"/>
        </w:rPr>
        <w:t>КРЕДИТЫ И ЗАЙМЫ</w:t>
      </w:r>
      <w:bookmarkEnd w:id="32"/>
    </w:p>
    <w:p>
      <w:pPr>
        <w:pStyle w:val="ListParagraph"/>
        <w:keepLines/>
        <w:numPr>
          <w:ilvl w:val="0"/>
          <w:numId w:val="0"/>
        </w:numPr>
        <w:spacing w:before="120" w:after="120"/>
        <w:ind w:left="0" w:right="134" w:hanging="0"/>
        <w:jc w:val="both"/>
        <w:outlineLvl w:val="0"/>
        <w:rPr>
          <w:rFonts w:ascii="Cambria" w:hAnsi="Cambria"/>
          <w:sz w:val="20"/>
          <w:szCs w:val="20"/>
        </w:rPr>
      </w:pPr>
      <w:r>
        <w:rPr>
          <w:rFonts w:ascii="Cambria" w:hAnsi="Cambria"/>
          <w:sz w:val="20"/>
          <w:szCs w:val="20"/>
        </w:rPr>
        <w:t>В данном примечании представлена</w:t>
      </w:r>
    </w:p>
    <w:p>
      <w:pPr>
        <w:pStyle w:val="ListParagraph"/>
        <w:keepLines/>
        <w:numPr>
          <w:ilvl w:val="0"/>
          <w:numId w:val="0"/>
        </w:numPr>
        <w:spacing w:before="120" w:after="120"/>
        <w:ind w:left="0" w:right="134" w:hanging="0"/>
        <w:jc w:val="both"/>
        <w:outlineLvl w:val="0"/>
        <w:rPr>
          <w:rFonts w:ascii="Cambria" w:hAnsi="Cambria" w:eastAsia="Times New Roman" w:cs="Arial"/>
          <w:b/>
          <w:b/>
          <w:bCs/>
          <w:kern w:val="2"/>
          <w:szCs w:val="20"/>
        </w:rPr>
      </w:pPr>
      <w:r>
        <w:rPr>
          <w:rFonts w:ascii="Cambria" w:hAnsi="Cambria"/>
          <w:sz w:val="20"/>
          <w:szCs w:val="20"/>
        </w:rPr>
        <w:t xml:space="preserve"> </w:t>
      </w:r>
      <w:r>
        <w:rPr>
          <w:rFonts w:ascii="Cambria" w:hAnsi="Cambria"/>
          <w:sz w:val="20"/>
          <w:szCs w:val="20"/>
        </w:rPr>
        <w:t>информация о договорных условиях привлечения Группой кредитов и займов, которые оцениваются по амортизированной стоимости.</w:t>
      </w:r>
    </w:p>
    <w:tbl>
      <w:tblPr>
        <w:tblW w:w="9658" w:type="dxa"/>
        <w:jc w:val="left"/>
        <w:tblInd w:w="1" w:type="dxa"/>
        <w:tblBorders/>
        <w:tblCellMar>
          <w:top w:w="0" w:type="dxa"/>
          <w:left w:w="108" w:type="dxa"/>
          <w:bottom w:w="0" w:type="dxa"/>
          <w:right w:w="108" w:type="dxa"/>
        </w:tblCellMar>
        <w:tblLook w:firstRow="1" w:noVBand="1" w:lastRow="0" w:firstColumn="1" w:lastColumn="0" w:noHBand="0" w:val="04a0"/>
      </w:tblPr>
      <w:tblGrid>
        <w:gridCol w:w="5387"/>
        <w:gridCol w:w="1417"/>
        <w:gridCol w:w="1559"/>
        <w:gridCol w:w="1294"/>
      </w:tblGrid>
      <w:tr>
        <w:trPr>
          <w:trHeight w:val="315" w:hRule="atLeast"/>
        </w:trPr>
        <w:tc>
          <w:tcPr>
            <w:tcW w:w="5387" w:type="dxa"/>
            <w:vMerge w:val="restart"/>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417"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55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294"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01 января</w:t>
            </w:r>
          </w:p>
        </w:tc>
      </w:tr>
      <w:tr>
        <w:trPr>
          <w:trHeight w:val="330" w:hRule="atLeast"/>
        </w:trPr>
        <w:tc>
          <w:tcPr>
            <w:tcW w:w="5387"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417"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2018 года</w:t>
            </w:r>
          </w:p>
        </w:tc>
        <w:tc>
          <w:tcPr>
            <w:tcW w:w="155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c>
          <w:tcPr>
            <w:tcW w:w="1294"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r>
      <w:tr>
        <w:trPr>
          <w:trHeight w:val="315" w:hRule="atLeast"/>
        </w:trPr>
        <w:tc>
          <w:tcPr>
            <w:tcW w:w="5387" w:type="dxa"/>
            <w:tcBorders/>
            <w:shd w:fill="auto" w:val="clear"/>
            <w:vAlign w:val="center"/>
          </w:tcPr>
          <w:p>
            <w:pPr>
              <w:pStyle w:val="Normal"/>
              <w:ind w:firstLine="402"/>
              <w:jc w:val="both"/>
              <w:rPr>
                <w:rFonts w:ascii="Cambria" w:hAnsi="Cambria" w:eastAsia="Times New Roman" w:cs="Calibri"/>
                <w:b/>
                <w:b/>
                <w:bCs/>
                <w:i/>
                <w:i/>
                <w:iCs/>
                <w:color w:val="000000"/>
                <w:sz w:val="20"/>
                <w:szCs w:val="20"/>
                <w:lang w:bidi="ar-SA"/>
              </w:rPr>
            </w:pPr>
            <w:r>
              <w:rPr>
                <w:rFonts w:eastAsia="Times New Roman" w:cs="Calibri" w:ascii="Cambria" w:hAnsi="Cambria"/>
                <w:b/>
                <w:bCs/>
                <w:i/>
                <w:iCs/>
                <w:color w:val="000000"/>
                <w:sz w:val="20"/>
                <w:szCs w:val="20"/>
                <w:lang w:bidi="ar-SA"/>
              </w:rPr>
              <w:t xml:space="preserve">Краткосрочные </w:t>
            </w:r>
          </w:p>
        </w:tc>
        <w:tc>
          <w:tcPr>
            <w:tcW w:w="1417" w:type="dxa"/>
            <w:tcBorders/>
            <w:shd w:fill="auto" w:val="clear"/>
            <w:vAlign w:val="bottom"/>
          </w:tcPr>
          <w:p>
            <w:pPr>
              <w:pStyle w:val="Normal"/>
              <w:ind w:firstLine="402"/>
              <w:rPr>
                <w:rFonts w:ascii="Cambria" w:hAnsi="Cambria" w:eastAsia="Times New Roman" w:cs="Calibri"/>
                <w:b/>
                <w:b/>
                <w:bCs/>
                <w:i/>
                <w:i/>
                <w:iCs/>
                <w:color w:val="000000"/>
                <w:sz w:val="20"/>
                <w:szCs w:val="20"/>
                <w:lang w:bidi="ar-SA"/>
              </w:rPr>
            </w:pPr>
            <w:r>
              <w:rPr>
                <w:rFonts w:eastAsia="Times New Roman" w:cs="Calibri" w:ascii="Cambria" w:hAnsi="Cambria"/>
                <w:b/>
                <w:bCs/>
                <w:i/>
                <w:iCs/>
                <w:color w:val="000000"/>
                <w:sz w:val="20"/>
                <w:szCs w:val="20"/>
                <w:lang w:bidi="ar-SA"/>
              </w:rPr>
            </w:r>
          </w:p>
        </w:tc>
        <w:tc>
          <w:tcPr>
            <w:tcW w:w="1559"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294"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15" w:hRule="atLeast"/>
        </w:trPr>
        <w:tc>
          <w:tcPr>
            <w:tcW w:w="5387" w:type="dxa"/>
            <w:tcBorders/>
            <w:shd w:fill="auto" w:val="clear"/>
            <w:vAlign w:val="center"/>
          </w:tcPr>
          <w:p>
            <w:pPr>
              <w:pStyle w:val="Normal"/>
              <w:ind w:firstLine="400"/>
              <w:jc w:val="both"/>
              <w:rPr>
                <w:rFonts w:ascii="Cambria" w:hAnsi="Cambria" w:eastAsia="Times New Roman" w:cs="Calibri"/>
                <w:b/>
                <w:b/>
                <w:bCs/>
                <w:i/>
                <w:i/>
                <w:iCs/>
                <w:color w:val="000000"/>
                <w:sz w:val="20"/>
                <w:szCs w:val="20"/>
                <w:lang w:bidi="ar-SA"/>
              </w:rPr>
            </w:pPr>
            <w:r>
              <w:rPr>
                <w:rFonts w:eastAsia="Times New Roman" w:cs="Calibri" w:ascii="Cambria" w:hAnsi="Cambria"/>
                <w:color w:val="000000"/>
                <w:sz w:val="20"/>
                <w:szCs w:val="20"/>
                <w:lang w:bidi="ar-SA"/>
              </w:rPr>
              <w:t>Краткосрочные займы, полученные от юридических лиц</w:t>
            </w:r>
          </w:p>
        </w:tc>
        <w:tc>
          <w:tcPr>
            <w:tcW w:w="1417" w:type="dxa"/>
            <w:tcBorders/>
            <w:shd w:fill="auto" w:val="clear"/>
            <w:vAlign w:val="bottom"/>
          </w:tcPr>
          <w:p>
            <w:pPr>
              <w:pStyle w:val="Normal"/>
              <w:ind w:firstLine="360"/>
              <w:jc w:val="right"/>
              <w:rPr>
                <w:rFonts w:ascii="Cambria" w:hAnsi="Cambria" w:eastAsia="Times New Roman" w:cs="Calibri"/>
                <w:b/>
                <w:b/>
                <w:bCs/>
                <w:i/>
                <w:i/>
                <w:iCs/>
                <w:color w:val="000000"/>
                <w:sz w:val="18"/>
                <w:szCs w:val="18"/>
                <w:lang w:bidi="ar-SA"/>
              </w:rPr>
            </w:pPr>
            <w:r>
              <w:rPr>
                <w:rFonts w:cs="Calibri" w:ascii="Cambria" w:hAnsi="Cambria"/>
                <w:color w:val="000000"/>
                <w:sz w:val="18"/>
                <w:szCs w:val="18"/>
              </w:rPr>
              <w:t>9 332</w:t>
            </w:r>
          </w:p>
        </w:tc>
        <w:tc>
          <w:tcPr>
            <w:tcW w:w="1559" w:type="dxa"/>
            <w:tcBorders/>
            <w:shd w:fill="auto" w:val="clear"/>
            <w:vAlign w:val="bottom"/>
          </w:tcPr>
          <w:p>
            <w:pPr>
              <w:pStyle w:val="Normal"/>
              <w:jc w:val="right"/>
              <w:rPr>
                <w:rFonts w:ascii="Cambria" w:hAnsi="Cambria" w:eastAsia="Times New Roman"/>
                <w:sz w:val="18"/>
                <w:szCs w:val="18"/>
                <w:lang w:bidi="ar-SA"/>
              </w:rPr>
            </w:pPr>
            <w:r>
              <w:rPr>
                <w:rFonts w:cs="Calibri" w:ascii="Cambria" w:hAnsi="Cambria"/>
                <w:color w:val="000000"/>
                <w:sz w:val="18"/>
                <w:szCs w:val="18"/>
              </w:rPr>
              <w:t>-</w:t>
            </w:r>
          </w:p>
        </w:tc>
        <w:tc>
          <w:tcPr>
            <w:tcW w:w="1294" w:type="dxa"/>
            <w:tcBorders/>
            <w:shd w:fill="auto" w:val="clear"/>
            <w:vAlign w:val="bottom"/>
          </w:tcPr>
          <w:p>
            <w:pPr>
              <w:pStyle w:val="Normal"/>
              <w:jc w:val="right"/>
              <w:rPr>
                <w:rFonts w:ascii="Cambria" w:hAnsi="Cambria" w:eastAsia="Times New Roman"/>
                <w:sz w:val="18"/>
                <w:szCs w:val="18"/>
                <w:lang w:bidi="ar-SA"/>
              </w:rPr>
            </w:pPr>
            <w:r>
              <w:rPr>
                <w:rFonts w:cs="Calibri" w:ascii="Cambria" w:hAnsi="Cambria"/>
                <w:color w:val="000000"/>
                <w:sz w:val="18"/>
                <w:szCs w:val="18"/>
              </w:rPr>
              <w:t>-</w:t>
            </w:r>
          </w:p>
        </w:tc>
      </w:tr>
      <w:tr>
        <w:trPr>
          <w:trHeight w:val="315" w:hRule="atLeast"/>
        </w:trPr>
        <w:tc>
          <w:tcPr>
            <w:tcW w:w="5387" w:type="dxa"/>
            <w:tcBorders/>
            <w:shd w:fill="auto" w:val="clear"/>
            <w:vAlign w:val="center"/>
          </w:tcPr>
          <w:p>
            <w:pPr>
              <w:pStyle w:val="Normal"/>
              <w:ind w:firstLine="400"/>
              <w:jc w:val="both"/>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Краткосрочные кредиты </w:t>
            </w:r>
          </w:p>
        </w:tc>
        <w:tc>
          <w:tcPr>
            <w:tcW w:w="1417"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90 121</w:t>
            </w:r>
          </w:p>
        </w:tc>
        <w:tc>
          <w:tcPr>
            <w:tcW w:w="155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132 000</w:t>
            </w:r>
          </w:p>
        </w:tc>
        <w:tc>
          <w:tcPr>
            <w:tcW w:w="1294"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6 000</w:t>
            </w:r>
          </w:p>
        </w:tc>
      </w:tr>
      <w:tr>
        <w:trPr>
          <w:trHeight w:val="330" w:hRule="atLeast"/>
        </w:trPr>
        <w:tc>
          <w:tcPr>
            <w:tcW w:w="5387" w:type="dxa"/>
            <w:tcBorders/>
            <w:shd w:fill="auto" w:val="clear"/>
            <w:vAlign w:val="center"/>
          </w:tcPr>
          <w:p>
            <w:pPr>
              <w:pStyle w:val="Normal"/>
              <w:ind w:firstLine="400"/>
              <w:jc w:val="both"/>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Краткосрочная задолженность по процентам банку</w:t>
            </w:r>
          </w:p>
        </w:tc>
        <w:tc>
          <w:tcPr>
            <w:tcW w:w="1417"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32</w:t>
            </w:r>
          </w:p>
        </w:tc>
        <w:tc>
          <w:tcPr>
            <w:tcW w:w="155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23</w:t>
            </w:r>
          </w:p>
        </w:tc>
        <w:tc>
          <w:tcPr>
            <w:tcW w:w="1294" w:type="dxa"/>
            <w:tcBorders/>
            <w:shd w:fill="auto" w:val="clear"/>
            <w:vAlign w:val="bottom"/>
          </w:tcPr>
          <w:p>
            <w:pPr>
              <w:pStyle w:val="Normal"/>
              <w:jc w:val="right"/>
              <w:rPr>
                <w:rFonts w:ascii="Cambria" w:hAnsi="Cambria"/>
                <w:sz w:val="18"/>
                <w:szCs w:val="18"/>
                <w:lang w:eastAsia="en-GB" w:bidi="ar-SA"/>
              </w:rPr>
            </w:pPr>
            <w:r>
              <w:rPr>
                <w:rFonts w:ascii="Cambria" w:hAnsi="Cambria"/>
                <w:sz w:val="18"/>
                <w:szCs w:val="18"/>
                <w:lang w:eastAsia="en-GB" w:bidi="ar-SA"/>
              </w:rPr>
              <w:t>-</w:t>
            </w:r>
          </w:p>
        </w:tc>
      </w:tr>
      <w:tr>
        <w:trPr>
          <w:trHeight w:val="315" w:hRule="atLeast"/>
        </w:trPr>
        <w:tc>
          <w:tcPr>
            <w:tcW w:w="5387" w:type="dxa"/>
            <w:tcBorders/>
            <w:shd w:fill="auto" w:val="clear"/>
            <w:vAlign w:val="center"/>
          </w:tcPr>
          <w:p>
            <w:pPr>
              <w:pStyle w:val="Normal"/>
              <w:ind w:firstLine="402"/>
              <w:jc w:val="both"/>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Итого краткосрочные займы и кредиты</w:t>
            </w:r>
          </w:p>
        </w:tc>
        <w:tc>
          <w:tcPr>
            <w:tcW w:w="1417"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99 485</w:t>
            </w:r>
          </w:p>
        </w:tc>
        <w:tc>
          <w:tcPr>
            <w:tcW w:w="155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132 023</w:t>
            </w:r>
          </w:p>
        </w:tc>
        <w:tc>
          <w:tcPr>
            <w:tcW w:w="1294"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cs="Calibri" w:ascii="Cambria" w:hAnsi="Cambria"/>
                <w:b/>
                <w:bCs/>
                <w:color w:val="000000"/>
                <w:sz w:val="20"/>
                <w:szCs w:val="20"/>
              </w:rPr>
              <w:t>6 000</w:t>
            </w:r>
          </w:p>
        </w:tc>
      </w:tr>
    </w:tbl>
    <w:p>
      <w:pPr>
        <w:pStyle w:val="Normal"/>
        <w:spacing w:before="120" w:after="120"/>
        <w:jc w:val="both"/>
        <w:rPr>
          <w:rFonts w:ascii="Cambria" w:hAnsi="Cambria"/>
          <w:sz w:val="20"/>
          <w:szCs w:val="20"/>
          <w:lang w:eastAsia="en-GB" w:bidi="ar-SA"/>
        </w:rPr>
      </w:pPr>
      <w:r>
        <w:rPr>
          <w:rFonts w:ascii="Cambria" w:hAnsi="Cambria"/>
          <w:sz w:val="20"/>
          <w:szCs w:val="20"/>
        </w:rPr>
        <w:t>Краткосрочные кредиты банка предоставлены в рублях на 31 декабря 2018, на 31 декабря 2017 и 01 января 2017, по фиксированным процентным ставкам 10%, 12,0% и 13,75% годовых соответственно.</w:t>
      </w:r>
    </w:p>
    <w:p>
      <w:pPr>
        <w:pStyle w:val="Normal"/>
        <w:spacing w:before="120" w:after="120"/>
        <w:ind w:right="134" w:hanging="0"/>
        <w:jc w:val="both"/>
        <w:rPr>
          <w:rFonts w:ascii="Cambria" w:hAnsi="Cambria"/>
          <w:b/>
          <w:b/>
          <w:bCs/>
          <w:sz w:val="20"/>
          <w:szCs w:val="20"/>
          <w:lang w:bidi="ar-SA"/>
        </w:rPr>
      </w:pPr>
      <w:r>
        <w:rPr>
          <w:rFonts w:ascii="Cambria" w:hAnsi="Cambria"/>
          <w:b/>
          <w:bCs/>
          <w:sz w:val="20"/>
          <w:szCs w:val="20"/>
          <w:lang w:bidi="ar-SA"/>
        </w:rPr>
      </w:r>
    </w:p>
    <w:p>
      <w:pPr>
        <w:pStyle w:val="ListParagraph"/>
        <w:keepLines/>
        <w:numPr>
          <w:ilvl w:val="0"/>
          <w:numId w:val="1"/>
        </w:numPr>
        <w:spacing w:before="120" w:after="120"/>
        <w:ind w:left="0" w:right="134" w:hanging="0"/>
        <w:jc w:val="both"/>
        <w:outlineLvl w:val="0"/>
        <w:rPr>
          <w:rFonts w:ascii="Cambria" w:hAnsi="Cambria" w:eastAsia="Times New Roman"/>
          <w:b/>
          <w:b/>
          <w:bCs/>
          <w:szCs w:val="20"/>
          <w:lang w:bidi="ar-SA"/>
        </w:rPr>
      </w:pPr>
      <w:bookmarkStart w:id="33" w:name="_Toc511723891"/>
      <w:bookmarkStart w:id="34" w:name="_Toc484003019"/>
      <w:bookmarkStart w:id="35" w:name="_Toc483571984"/>
      <w:r>
        <w:rPr>
          <w:rFonts w:eastAsia="Times New Roman" w:ascii="Cambria" w:hAnsi="Cambria"/>
          <w:b/>
          <w:bCs/>
          <w:szCs w:val="20"/>
          <w:lang w:bidi="ar-SA"/>
        </w:rPr>
        <w:t>ТОРГОВАЯ И ПРОЧАЯ КРЕДИТОРСКАЯ ЗАДОЛЖЕННОСТЬ</w:t>
      </w:r>
      <w:bookmarkEnd w:id="33"/>
      <w:bookmarkEnd w:id="34"/>
      <w:bookmarkEnd w:id="35"/>
    </w:p>
    <w:p>
      <w:pPr>
        <w:pStyle w:val="ListParagraph"/>
        <w:spacing w:before="120" w:after="120"/>
        <w:ind w:left="0" w:right="136" w:hanging="0"/>
        <w:jc w:val="both"/>
        <w:rPr>
          <w:rFonts w:ascii="Cambria" w:hAnsi="Cambria"/>
          <w:b/>
          <w:b/>
          <w:i/>
          <w:i/>
          <w:sz w:val="20"/>
          <w:szCs w:val="20"/>
        </w:rPr>
      </w:pPr>
      <w:r>
        <w:rPr>
          <w:rFonts w:ascii="Cambria" w:hAnsi="Cambria"/>
          <w:b/>
          <w:i/>
          <w:sz w:val="20"/>
          <w:szCs w:val="20"/>
        </w:rPr>
        <w:t xml:space="preserve">Краткосрочная кредиторская задолженность </w:t>
      </w:r>
    </w:p>
    <w:tbl>
      <w:tblPr>
        <w:tblW w:w="9080" w:type="dxa"/>
        <w:jc w:val="left"/>
        <w:tblInd w:w="1" w:type="dxa"/>
        <w:tblBorders/>
        <w:tblCellMar>
          <w:top w:w="0" w:type="dxa"/>
          <w:left w:w="108" w:type="dxa"/>
          <w:bottom w:w="0" w:type="dxa"/>
          <w:right w:w="108" w:type="dxa"/>
        </w:tblCellMar>
        <w:tblLook w:firstRow="1" w:noVBand="1" w:lastRow="0" w:firstColumn="1" w:lastColumn="0" w:noHBand="0" w:val="04a0"/>
      </w:tblPr>
      <w:tblGrid>
        <w:gridCol w:w="4360"/>
        <w:gridCol w:w="2040"/>
        <w:gridCol w:w="1300"/>
        <w:gridCol w:w="1379"/>
      </w:tblGrid>
      <w:tr>
        <w:trPr>
          <w:trHeight w:val="270" w:hRule="atLeast"/>
        </w:trPr>
        <w:tc>
          <w:tcPr>
            <w:tcW w:w="4360" w:type="dxa"/>
            <w:vMerge w:val="restart"/>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4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300"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w:t>
            </w:r>
          </w:p>
        </w:tc>
        <w:tc>
          <w:tcPr>
            <w:tcW w:w="137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01 января</w:t>
            </w:r>
          </w:p>
        </w:tc>
      </w:tr>
      <w:tr>
        <w:trPr>
          <w:trHeight w:val="285" w:hRule="atLeast"/>
        </w:trPr>
        <w:tc>
          <w:tcPr>
            <w:tcW w:w="436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4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2018 года</w:t>
            </w:r>
          </w:p>
        </w:tc>
        <w:tc>
          <w:tcPr>
            <w:tcW w:w="130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c>
          <w:tcPr>
            <w:tcW w:w="137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2017 года</w:t>
            </w:r>
          </w:p>
        </w:tc>
      </w:tr>
      <w:tr>
        <w:trPr>
          <w:trHeight w:val="765" w:hRule="atLeast"/>
        </w:trPr>
        <w:tc>
          <w:tcPr>
            <w:tcW w:w="436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 xml:space="preserve">Прочая кредиторская задолженность  </w:t>
            </w:r>
          </w:p>
        </w:tc>
        <w:tc>
          <w:tcPr>
            <w:tcW w:w="204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168 597</w:t>
            </w:r>
          </w:p>
        </w:tc>
        <w:tc>
          <w:tcPr>
            <w:tcW w:w="130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148 631</w:t>
            </w:r>
          </w:p>
        </w:tc>
        <w:tc>
          <w:tcPr>
            <w:tcW w:w="137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48 120</w:t>
            </w:r>
          </w:p>
        </w:tc>
      </w:tr>
      <w:tr>
        <w:trPr>
          <w:trHeight w:val="765" w:hRule="atLeast"/>
        </w:trPr>
        <w:tc>
          <w:tcPr>
            <w:tcW w:w="436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Оценочные обязательства</w:t>
            </w:r>
          </w:p>
        </w:tc>
        <w:tc>
          <w:tcPr>
            <w:tcW w:w="204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3 278</w:t>
            </w:r>
          </w:p>
        </w:tc>
        <w:tc>
          <w:tcPr>
            <w:tcW w:w="130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w:t>
            </w:r>
          </w:p>
        </w:tc>
        <w:tc>
          <w:tcPr>
            <w:tcW w:w="137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w:t>
            </w:r>
          </w:p>
        </w:tc>
      </w:tr>
      <w:tr>
        <w:trPr>
          <w:trHeight w:val="247" w:hRule="atLeast"/>
        </w:trPr>
        <w:tc>
          <w:tcPr>
            <w:tcW w:w="436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Кредиторская задолженность  с подрядчиками</w:t>
            </w:r>
          </w:p>
        </w:tc>
        <w:tc>
          <w:tcPr>
            <w:tcW w:w="204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1 716</w:t>
            </w:r>
          </w:p>
        </w:tc>
        <w:tc>
          <w:tcPr>
            <w:tcW w:w="130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2 850</w:t>
            </w:r>
          </w:p>
        </w:tc>
        <w:tc>
          <w:tcPr>
            <w:tcW w:w="137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6 195</w:t>
            </w:r>
          </w:p>
        </w:tc>
      </w:tr>
      <w:tr>
        <w:trPr>
          <w:trHeight w:val="540" w:hRule="atLeast"/>
        </w:trPr>
        <w:tc>
          <w:tcPr>
            <w:tcW w:w="4360" w:type="dxa"/>
            <w:tcBorders/>
            <w:shd w:fill="auto" w:val="clear"/>
            <w:vAlign w:val="center"/>
          </w:tcPr>
          <w:p>
            <w:pPr>
              <w:pStyle w:val="Normal"/>
              <w:jc w:val="both"/>
              <w:rPr>
                <w:rFonts w:ascii="Cambria" w:hAnsi="Cambria" w:eastAsia="Times New Roman" w:cs="Calibri"/>
                <w:sz w:val="20"/>
                <w:szCs w:val="20"/>
                <w:lang w:bidi="ar-SA"/>
              </w:rPr>
            </w:pPr>
            <w:r>
              <w:rPr>
                <w:rFonts w:eastAsia="Times New Roman" w:cs="Calibri" w:ascii="Cambria" w:hAnsi="Cambria"/>
                <w:sz w:val="20"/>
                <w:szCs w:val="20"/>
                <w:lang w:bidi="ar-SA"/>
              </w:rPr>
              <w:t>Краткосрочная задолженность по договорам лизинга</w:t>
            </w:r>
          </w:p>
        </w:tc>
        <w:tc>
          <w:tcPr>
            <w:tcW w:w="204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7 000</w:t>
            </w:r>
          </w:p>
        </w:tc>
        <w:tc>
          <w:tcPr>
            <w:tcW w:w="130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6 398</w:t>
            </w:r>
          </w:p>
        </w:tc>
        <w:tc>
          <w:tcPr>
            <w:tcW w:w="137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5 084</w:t>
            </w:r>
          </w:p>
        </w:tc>
      </w:tr>
      <w:tr>
        <w:trPr>
          <w:trHeight w:val="540" w:hRule="atLeast"/>
        </w:trPr>
        <w:tc>
          <w:tcPr>
            <w:tcW w:w="4360" w:type="dxa"/>
            <w:tcBorders/>
            <w:shd w:fill="auto" w:val="clear"/>
            <w:vAlign w:val="center"/>
          </w:tcPr>
          <w:p>
            <w:pPr>
              <w:pStyle w:val="Normal"/>
              <w:jc w:val="both"/>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ИТОГО финансовая краткосрочная кредиторская задолженность</w:t>
            </w:r>
          </w:p>
        </w:tc>
        <w:tc>
          <w:tcPr>
            <w:tcW w:w="2040" w:type="dxa"/>
            <w:tcBorders>
              <w:top w:val="single" w:sz="4" w:space="0" w:color="000000"/>
              <w:bottom w:val="double" w:sz="6" w:space="0" w:color="000000"/>
              <w:insideH w:val="double" w:sz="6"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b/>
                <w:bCs/>
                <w:color w:val="000000"/>
                <w:sz w:val="18"/>
                <w:szCs w:val="18"/>
              </w:rPr>
              <w:t>180 592</w:t>
            </w:r>
          </w:p>
        </w:tc>
        <w:tc>
          <w:tcPr>
            <w:tcW w:w="1300" w:type="dxa"/>
            <w:tcBorders>
              <w:top w:val="single" w:sz="4" w:space="0" w:color="000000"/>
              <w:bottom w:val="double" w:sz="6" w:space="0" w:color="000000"/>
              <w:insideH w:val="double" w:sz="6"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b/>
                <w:bCs/>
                <w:color w:val="000000"/>
                <w:sz w:val="18"/>
                <w:szCs w:val="18"/>
              </w:rPr>
              <w:t>157 879</w:t>
            </w:r>
          </w:p>
        </w:tc>
        <w:tc>
          <w:tcPr>
            <w:tcW w:w="1379" w:type="dxa"/>
            <w:tcBorders>
              <w:top w:val="single" w:sz="4" w:space="0" w:color="000000"/>
              <w:bottom w:val="double" w:sz="6" w:space="0" w:color="000000"/>
              <w:insideH w:val="double" w:sz="6"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b/>
                <w:bCs/>
                <w:color w:val="000000"/>
                <w:sz w:val="18"/>
                <w:szCs w:val="18"/>
              </w:rPr>
              <w:t>59 399</w:t>
            </w:r>
          </w:p>
        </w:tc>
      </w:tr>
      <w:tr>
        <w:trPr>
          <w:trHeight w:val="540" w:hRule="atLeast"/>
        </w:trPr>
        <w:tc>
          <w:tcPr>
            <w:tcW w:w="4360" w:type="dxa"/>
            <w:tcBorders/>
            <w:shd w:fill="auto" w:val="clear"/>
            <w:vAlign w:val="center"/>
          </w:tcPr>
          <w:p>
            <w:pPr>
              <w:pStyle w:val="Normal"/>
              <w:jc w:val="both"/>
              <w:rPr>
                <w:rFonts w:ascii="Cambria" w:hAnsi="Cambria" w:eastAsia="Times New Roman" w:cs="Calibri"/>
                <w:i/>
                <w:i/>
                <w:iCs/>
                <w:color w:val="000000"/>
                <w:sz w:val="20"/>
                <w:szCs w:val="20"/>
                <w:lang w:bidi="ar-SA"/>
              </w:rPr>
            </w:pPr>
            <w:r>
              <w:rPr>
                <w:rFonts w:eastAsia="Times New Roman" w:cs="Calibri" w:ascii="Cambria" w:hAnsi="Cambria"/>
                <w:i/>
                <w:iCs/>
                <w:color w:val="000000"/>
                <w:sz w:val="20"/>
                <w:szCs w:val="20"/>
                <w:lang w:bidi="ar-SA"/>
              </w:rPr>
              <w:t>Нефинансовая задолженность</w:t>
            </w:r>
          </w:p>
        </w:tc>
        <w:tc>
          <w:tcPr>
            <w:tcW w:w="2040" w:type="dxa"/>
            <w:tcBorders/>
            <w:shd w:fill="auto" w:val="clear"/>
            <w:vAlign w:val="bottom"/>
          </w:tcPr>
          <w:p>
            <w:pPr>
              <w:pStyle w:val="Normal"/>
              <w:jc w:val="right"/>
              <w:rPr>
                <w:rFonts w:ascii="Cambria" w:hAnsi="Cambria"/>
                <w:sz w:val="18"/>
                <w:szCs w:val="20"/>
                <w:lang w:eastAsia="en-GB" w:bidi="ar-SA"/>
              </w:rPr>
            </w:pPr>
            <w:r>
              <w:rPr>
                <w:rFonts w:ascii="Cambria" w:hAnsi="Cambria"/>
                <w:sz w:val="18"/>
                <w:szCs w:val="20"/>
                <w:lang w:eastAsia="en-GB" w:bidi="ar-SA"/>
              </w:rPr>
            </w:r>
          </w:p>
        </w:tc>
        <w:tc>
          <w:tcPr>
            <w:tcW w:w="1300" w:type="dxa"/>
            <w:tcBorders/>
            <w:shd w:fill="auto" w:val="clear"/>
            <w:vAlign w:val="bottom"/>
          </w:tcPr>
          <w:p>
            <w:pPr>
              <w:pStyle w:val="Normal"/>
              <w:jc w:val="right"/>
              <w:rPr>
                <w:rFonts w:ascii="Cambria" w:hAnsi="Cambria"/>
                <w:sz w:val="18"/>
                <w:szCs w:val="20"/>
                <w:lang w:eastAsia="en-GB" w:bidi="ar-SA"/>
              </w:rPr>
            </w:pPr>
            <w:r>
              <w:rPr>
                <w:rFonts w:ascii="Cambria" w:hAnsi="Cambria"/>
                <w:sz w:val="18"/>
                <w:szCs w:val="20"/>
                <w:lang w:eastAsia="en-GB" w:bidi="ar-SA"/>
              </w:rPr>
            </w:r>
          </w:p>
        </w:tc>
        <w:tc>
          <w:tcPr>
            <w:tcW w:w="1379" w:type="dxa"/>
            <w:tcBorders/>
            <w:shd w:fill="auto" w:val="clear"/>
            <w:vAlign w:val="bottom"/>
          </w:tcPr>
          <w:p>
            <w:pPr>
              <w:pStyle w:val="Normal"/>
              <w:jc w:val="right"/>
              <w:rPr>
                <w:rFonts w:ascii="Cambria" w:hAnsi="Cambria"/>
                <w:sz w:val="18"/>
                <w:szCs w:val="20"/>
                <w:lang w:eastAsia="en-GB" w:bidi="ar-SA"/>
              </w:rPr>
            </w:pPr>
            <w:r>
              <w:rPr>
                <w:rFonts w:ascii="Cambria" w:hAnsi="Cambria"/>
                <w:sz w:val="18"/>
                <w:szCs w:val="20"/>
                <w:lang w:eastAsia="en-GB" w:bidi="ar-SA"/>
              </w:rPr>
            </w:r>
          </w:p>
        </w:tc>
      </w:tr>
      <w:tr>
        <w:trPr>
          <w:trHeight w:val="540" w:hRule="atLeast"/>
        </w:trPr>
        <w:tc>
          <w:tcPr>
            <w:tcW w:w="4360" w:type="dxa"/>
            <w:tcBorders/>
            <w:shd w:fill="auto" w:val="clear"/>
            <w:vAlign w:val="center"/>
          </w:tcPr>
          <w:p>
            <w:pPr>
              <w:pStyle w:val="Normal"/>
              <w:jc w:val="both"/>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Задолженность по заработной плате</w:t>
            </w:r>
          </w:p>
        </w:tc>
        <w:tc>
          <w:tcPr>
            <w:tcW w:w="204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78 471</w:t>
            </w:r>
          </w:p>
        </w:tc>
        <w:tc>
          <w:tcPr>
            <w:tcW w:w="130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66 228</w:t>
            </w:r>
          </w:p>
        </w:tc>
        <w:tc>
          <w:tcPr>
            <w:tcW w:w="137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118 127</w:t>
            </w:r>
          </w:p>
        </w:tc>
      </w:tr>
      <w:tr>
        <w:trPr>
          <w:trHeight w:val="339" w:hRule="atLeast"/>
        </w:trPr>
        <w:tc>
          <w:tcPr>
            <w:tcW w:w="436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Налоги к уплате</w:t>
            </w:r>
          </w:p>
        </w:tc>
        <w:tc>
          <w:tcPr>
            <w:tcW w:w="204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30 688</w:t>
            </w:r>
          </w:p>
        </w:tc>
        <w:tc>
          <w:tcPr>
            <w:tcW w:w="130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29 784</w:t>
            </w:r>
          </w:p>
        </w:tc>
        <w:tc>
          <w:tcPr>
            <w:tcW w:w="137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41 617</w:t>
            </w:r>
          </w:p>
        </w:tc>
      </w:tr>
      <w:tr>
        <w:trPr>
          <w:trHeight w:val="273" w:hRule="atLeast"/>
        </w:trPr>
        <w:tc>
          <w:tcPr>
            <w:tcW w:w="436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Резерв по неиспользованным отпускам</w:t>
            </w:r>
          </w:p>
        </w:tc>
        <w:tc>
          <w:tcPr>
            <w:tcW w:w="204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2 048</w:t>
            </w:r>
          </w:p>
        </w:tc>
        <w:tc>
          <w:tcPr>
            <w:tcW w:w="1300"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1 998</w:t>
            </w:r>
          </w:p>
        </w:tc>
        <w:tc>
          <w:tcPr>
            <w:tcW w:w="1379" w:type="dxa"/>
            <w:tcBorders/>
            <w:shd w:fill="auto" w:val="clear"/>
            <w:vAlign w:val="bottom"/>
          </w:tcPr>
          <w:p>
            <w:pPr>
              <w:pStyle w:val="Normal"/>
              <w:jc w:val="right"/>
              <w:rPr>
                <w:rFonts w:ascii="Cambria" w:hAnsi="Cambria"/>
                <w:sz w:val="18"/>
                <w:szCs w:val="18"/>
                <w:lang w:eastAsia="en-GB" w:bidi="ar-SA"/>
              </w:rPr>
            </w:pPr>
            <w:r>
              <w:rPr>
                <w:rFonts w:cs="Calibri" w:ascii="Cambria" w:hAnsi="Cambria"/>
                <w:color w:val="000000"/>
                <w:sz w:val="18"/>
                <w:szCs w:val="18"/>
              </w:rPr>
              <w:t>1 969</w:t>
            </w:r>
          </w:p>
        </w:tc>
      </w:tr>
      <w:tr>
        <w:trPr>
          <w:trHeight w:val="540" w:hRule="atLeast"/>
        </w:trPr>
        <w:tc>
          <w:tcPr>
            <w:tcW w:w="436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Задолженность участникам (по дивидендам)</w:t>
            </w:r>
          </w:p>
        </w:tc>
        <w:tc>
          <w:tcPr>
            <w:tcW w:w="2040" w:type="dxa"/>
            <w:tcBorders/>
            <w:shd w:fill="auto" w:val="clear"/>
            <w:vAlign w:val="bottom"/>
          </w:tcPr>
          <w:p>
            <w:pPr>
              <w:pStyle w:val="Normal"/>
              <w:jc w:val="right"/>
              <w:rPr>
                <w:rFonts w:ascii="Cambria" w:hAnsi="Cambria"/>
                <w:sz w:val="18"/>
                <w:szCs w:val="18"/>
                <w:lang w:eastAsia="en-GB" w:bidi="ar-SA"/>
              </w:rPr>
            </w:pPr>
            <w:r>
              <w:rPr>
                <w:rFonts w:ascii="Cambria" w:hAnsi="Cambria"/>
                <w:sz w:val="18"/>
                <w:szCs w:val="18"/>
                <w:lang w:eastAsia="en-GB" w:bidi="ar-SA"/>
              </w:rPr>
            </w:r>
          </w:p>
        </w:tc>
        <w:tc>
          <w:tcPr>
            <w:tcW w:w="1300" w:type="dxa"/>
            <w:tcBorders/>
            <w:shd w:fill="auto" w:val="clear"/>
            <w:vAlign w:val="bottom"/>
          </w:tcPr>
          <w:p>
            <w:pPr>
              <w:pStyle w:val="Normal"/>
              <w:jc w:val="right"/>
              <w:rPr>
                <w:rFonts w:ascii="Cambria" w:hAnsi="Cambria"/>
                <w:sz w:val="18"/>
                <w:szCs w:val="18"/>
                <w:lang w:eastAsia="en-GB" w:bidi="ar-SA"/>
              </w:rPr>
            </w:pPr>
            <w:r>
              <w:rPr>
                <w:rFonts w:ascii="Cambria" w:hAnsi="Cambria"/>
                <w:sz w:val="18"/>
                <w:szCs w:val="18"/>
                <w:lang w:eastAsia="en-GB" w:bidi="ar-SA"/>
              </w:rPr>
            </w:r>
          </w:p>
        </w:tc>
        <w:tc>
          <w:tcPr>
            <w:tcW w:w="1379" w:type="dxa"/>
            <w:tcBorders/>
            <w:shd w:fill="auto" w:val="clear"/>
            <w:vAlign w:val="bottom"/>
          </w:tcPr>
          <w:p>
            <w:pPr>
              <w:pStyle w:val="Normal"/>
              <w:jc w:val="right"/>
              <w:rPr>
                <w:rFonts w:ascii="Cambria" w:hAnsi="Cambria"/>
                <w:sz w:val="18"/>
                <w:szCs w:val="18"/>
                <w:lang w:eastAsia="en-GB" w:bidi="ar-SA"/>
              </w:rPr>
            </w:pPr>
            <w:r>
              <w:rPr>
                <w:rFonts w:ascii="Cambria" w:hAnsi="Cambria"/>
                <w:sz w:val="18"/>
                <w:szCs w:val="18"/>
                <w:lang w:eastAsia="en-GB" w:bidi="ar-SA"/>
              </w:rPr>
            </w:r>
          </w:p>
        </w:tc>
      </w:tr>
      <w:tr>
        <w:trPr>
          <w:trHeight w:val="80" w:hRule="atLeast"/>
        </w:trPr>
        <w:tc>
          <w:tcPr>
            <w:tcW w:w="4360" w:type="dxa"/>
            <w:tcBorders/>
            <w:shd w:fill="auto" w:val="clear"/>
            <w:vAlign w:val="center"/>
          </w:tcPr>
          <w:p>
            <w:pPr>
              <w:pStyle w:val="Normal"/>
              <w:jc w:val="right"/>
              <w:rPr>
                <w:rFonts w:ascii="Trebuchet MS" w:hAnsi="Trebuchet MS" w:eastAsia="Times New Roman" w:cs="Calibri"/>
                <w:color w:val="000000"/>
                <w:sz w:val="16"/>
                <w:szCs w:val="16"/>
                <w:lang w:bidi="ar-SA"/>
              </w:rPr>
            </w:pPr>
            <w:r>
              <w:rPr>
                <w:rFonts w:eastAsia="Times New Roman" w:cs="Calibri" w:ascii="Trebuchet MS" w:hAnsi="Trebuchet MS"/>
                <w:color w:val="000000"/>
                <w:sz w:val="16"/>
                <w:szCs w:val="16"/>
                <w:lang w:bidi="ar-SA"/>
              </w:rPr>
            </w:r>
          </w:p>
        </w:tc>
        <w:tc>
          <w:tcPr>
            <w:tcW w:w="2040" w:type="dxa"/>
            <w:tcBorders/>
            <w:shd w:fill="auto" w:val="clear"/>
            <w:vAlign w:val="bottom"/>
          </w:tcPr>
          <w:p>
            <w:pPr>
              <w:pStyle w:val="Normal"/>
              <w:jc w:val="right"/>
              <w:rPr>
                <w:rFonts w:ascii="Cambria" w:hAnsi="Cambria"/>
                <w:sz w:val="18"/>
                <w:szCs w:val="18"/>
                <w:lang w:eastAsia="en-GB" w:bidi="ar-SA"/>
              </w:rPr>
            </w:pPr>
            <w:r>
              <w:rPr>
                <w:rFonts w:cs="Calibri" w:ascii="Cambria" w:hAnsi="Cambria"/>
                <w:b/>
                <w:bCs/>
                <w:color w:val="000000"/>
                <w:sz w:val="18"/>
                <w:szCs w:val="18"/>
              </w:rPr>
              <w:t>147 000</w:t>
            </w:r>
          </w:p>
        </w:tc>
        <w:tc>
          <w:tcPr>
            <w:tcW w:w="1300" w:type="dxa"/>
            <w:tcBorders/>
            <w:shd w:fill="auto" w:val="clear"/>
            <w:vAlign w:val="bottom"/>
          </w:tcPr>
          <w:p>
            <w:pPr>
              <w:pStyle w:val="Normal"/>
              <w:jc w:val="right"/>
              <w:rPr>
                <w:rFonts w:ascii="Cambria" w:hAnsi="Cambria"/>
                <w:sz w:val="18"/>
                <w:szCs w:val="18"/>
                <w:lang w:eastAsia="en-GB" w:bidi="ar-SA"/>
              </w:rPr>
            </w:pPr>
            <w:r>
              <w:rPr>
                <w:rFonts w:cs="Calibri" w:ascii="Cambria" w:hAnsi="Cambria"/>
                <w:b/>
                <w:bCs/>
                <w:color w:val="000000"/>
                <w:sz w:val="18"/>
                <w:szCs w:val="18"/>
              </w:rPr>
              <w:t>134 388</w:t>
            </w:r>
          </w:p>
        </w:tc>
        <w:tc>
          <w:tcPr>
            <w:tcW w:w="1379" w:type="dxa"/>
            <w:tcBorders/>
            <w:shd w:fill="auto" w:val="clear"/>
            <w:vAlign w:val="bottom"/>
          </w:tcPr>
          <w:p>
            <w:pPr>
              <w:pStyle w:val="Normal"/>
              <w:jc w:val="right"/>
              <w:rPr>
                <w:rFonts w:ascii="Cambria" w:hAnsi="Cambria"/>
                <w:sz w:val="18"/>
                <w:szCs w:val="18"/>
                <w:lang w:eastAsia="en-GB" w:bidi="ar-SA"/>
              </w:rPr>
            </w:pPr>
            <w:r>
              <w:rPr>
                <w:rFonts w:cs="Calibri" w:ascii="Cambria" w:hAnsi="Cambria"/>
                <w:b/>
                <w:bCs/>
                <w:color w:val="000000"/>
                <w:sz w:val="18"/>
                <w:szCs w:val="18"/>
              </w:rPr>
              <w:t>250 178</w:t>
            </w:r>
          </w:p>
        </w:tc>
      </w:tr>
      <w:tr>
        <w:trPr>
          <w:trHeight w:val="540" w:hRule="atLeast"/>
        </w:trPr>
        <w:tc>
          <w:tcPr>
            <w:tcW w:w="4360" w:type="dxa"/>
            <w:tcBorders/>
            <w:shd w:fill="auto" w:val="clear"/>
            <w:vAlign w:val="center"/>
          </w:tcPr>
          <w:p>
            <w:pPr>
              <w:pStyle w:val="Normal"/>
              <w:jc w:val="both"/>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Итого нефинансовая краткосрочная кредиторская задолженность</w:t>
            </w:r>
          </w:p>
        </w:tc>
        <w:tc>
          <w:tcPr>
            <w:tcW w:w="2040" w:type="dxa"/>
            <w:tcBorders>
              <w:top w:val="single" w:sz="8"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b/>
                <w:bCs/>
                <w:color w:val="000000"/>
                <w:sz w:val="18"/>
                <w:szCs w:val="18"/>
              </w:rPr>
              <w:t>327 592</w:t>
            </w:r>
          </w:p>
        </w:tc>
        <w:tc>
          <w:tcPr>
            <w:tcW w:w="1300" w:type="dxa"/>
            <w:tcBorders>
              <w:top w:val="single" w:sz="8"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b/>
                <w:bCs/>
                <w:color w:val="000000"/>
                <w:sz w:val="18"/>
                <w:szCs w:val="18"/>
              </w:rPr>
              <w:t>292 267</w:t>
            </w:r>
          </w:p>
        </w:tc>
        <w:tc>
          <w:tcPr>
            <w:tcW w:w="1379" w:type="dxa"/>
            <w:tcBorders>
              <w:top w:val="single" w:sz="8"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b/>
                <w:bCs/>
                <w:color w:val="000000"/>
                <w:sz w:val="18"/>
                <w:szCs w:val="18"/>
              </w:rPr>
              <w:t>309 577</w:t>
            </w:r>
          </w:p>
        </w:tc>
      </w:tr>
      <w:tr>
        <w:trPr>
          <w:trHeight w:val="540" w:hRule="atLeast"/>
        </w:trPr>
        <w:tc>
          <w:tcPr>
            <w:tcW w:w="4360" w:type="dxa"/>
            <w:tcBorders/>
            <w:shd w:fill="auto" w:val="clear"/>
            <w:vAlign w:val="center"/>
          </w:tcPr>
          <w:p>
            <w:pPr>
              <w:pStyle w:val="Normal"/>
              <w:jc w:val="both"/>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ИТОГО ТОРГОВАЯ И ПРОЧАЯ КРЕДИТОРСКАЯ ЗАДОЛЖЕЕНОСТЬ</w:t>
            </w:r>
          </w:p>
        </w:tc>
        <w:tc>
          <w:tcPr>
            <w:tcW w:w="2040" w:type="dxa"/>
            <w:tcBorders>
              <w:top w:val="single" w:sz="4" w:space="0" w:color="000000"/>
              <w:bottom w:val="double" w:sz="6" w:space="0" w:color="000000"/>
              <w:insideH w:val="double" w:sz="6"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color w:val="000000"/>
                <w:sz w:val="18"/>
                <w:szCs w:val="18"/>
              </w:rPr>
              <w:t>78 471</w:t>
            </w:r>
          </w:p>
        </w:tc>
        <w:tc>
          <w:tcPr>
            <w:tcW w:w="1300" w:type="dxa"/>
            <w:tcBorders>
              <w:top w:val="single" w:sz="4" w:space="0" w:color="000000"/>
              <w:bottom w:val="double" w:sz="6" w:space="0" w:color="000000"/>
              <w:insideH w:val="double" w:sz="6"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color w:val="000000"/>
                <w:sz w:val="18"/>
                <w:szCs w:val="18"/>
              </w:rPr>
              <w:t>66 228</w:t>
            </w:r>
          </w:p>
        </w:tc>
        <w:tc>
          <w:tcPr>
            <w:tcW w:w="1379" w:type="dxa"/>
            <w:tcBorders>
              <w:top w:val="single" w:sz="4" w:space="0" w:color="000000"/>
              <w:bottom w:val="double" w:sz="6" w:space="0" w:color="000000"/>
              <w:insideH w:val="double" w:sz="6" w:space="0" w:color="000000"/>
            </w:tcBorders>
            <w:shd w:fill="auto" w:val="clear"/>
            <w:vAlign w:val="bottom"/>
          </w:tcPr>
          <w:p>
            <w:pPr>
              <w:pStyle w:val="Normal"/>
              <w:jc w:val="right"/>
              <w:rPr>
                <w:rFonts w:ascii="Cambria" w:hAnsi="Cambria"/>
                <w:b/>
                <w:b/>
                <w:sz w:val="18"/>
                <w:szCs w:val="18"/>
                <w:lang w:eastAsia="en-GB" w:bidi="ar-SA"/>
              </w:rPr>
            </w:pPr>
            <w:r>
              <w:rPr>
                <w:rFonts w:cs="Calibri" w:ascii="Cambria" w:hAnsi="Cambria"/>
                <w:color w:val="000000"/>
                <w:sz w:val="18"/>
                <w:szCs w:val="18"/>
              </w:rPr>
              <w:t>118 127</w:t>
            </w:r>
          </w:p>
        </w:tc>
      </w:tr>
    </w:tbl>
    <w:p>
      <w:pPr>
        <w:pStyle w:val="Normal"/>
        <w:spacing w:before="120" w:after="120"/>
        <w:jc w:val="both"/>
        <w:rPr>
          <w:rFonts w:ascii="Cambria" w:hAnsi="Cambria"/>
          <w:sz w:val="20"/>
          <w:szCs w:val="20"/>
        </w:rPr>
      </w:pPr>
      <w:r>
        <w:rPr>
          <w:rFonts w:ascii="Cambria" w:hAnsi="Cambria"/>
          <w:sz w:val="20"/>
          <w:szCs w:val="20"/>
        </w:rPr>
        <w:t xml:space="preserve">Торговая и прочая кредиторская задолженность номинирована преимущественно в российских рублях. </w:t>
      </w:r>
    </w:p>
    <w:p>
      <w:pPr>
        <w:pStyle w:val="Normal"/>
        <w:spacing w:before="120" w:after="120"/>
        <w:jc w:val="both"/>
        <w:rPr>
          <w:rFonts w:ascii="Cambria" w:hAnsi="Cambria"/>
          <w:sz w:val="20"/>
          <w:szCs w:val="20"/>
        </w:rPr>
      </w:pPr>
      <w:r>
        <w:rPr>
          <w:rFonts w:ascii="Cambria" w:hAnsi="Cambria"/>
          <w:sz w:val="20"/>
          <w:szCs w:val="20"/>
        </w:rPr>
        <w:t>На торговую кредиторскую задолженность не начисляются проценты, она обычно погашается в течение трёх месяцев.</w:t>
      </w:r>
    </w:p>
    <w:p>
      <w:pPr>
        <w:pStyle w:val="Normal"/>
        <w:spacing w:before="120" w:after="120"/>
        <w:jc w:val="both"/>
        <w:rPr>
          <w:rFonts w:ascii="Cambria" w:hAnsi="Cambria"/>
          <w:sz w:val="20"/>
          <w:szCs w:val="20"/>
        </w:rPr>
      </w:pPr>
      <w:r>
        <w:rPr>
          <w:rFonts w:ascii="Cambria" w:hAnsi="Cambria"/>
          <w:sz w:val="20"/>
          <w:szCs w:val="20"/>
        </w:rPr>
        <w:t>Информация о подверженности Группы риску ликвидности в отношении торговой и прочей кредиторской задолженности раскрыта в Примечании 24.</w:t>
      </w:r>
    </w:p>
    <w:p>
      <w:pPr>
        <w:pStyle w:val="ListParagraph"/>
        <w:keepLines/>
        <w:numPr>
          <w:ilvl w:val="0"/>
          <w:numId w:val="1"/>
        </w:numPr>
        <w:spacing w:before="120" w:after="120"/>
        <w:ind w:left="0" w:right="134" w:hanging="0"/>
        <w:jc w:val="both"/>
        <w:outlineLvl w:val="0"/>
        <w:rPr>
          <w:rFonts w:ascii="Cambria" w:hAnsi="Cambria" w:eastAsia="Times New Roman"/>
          <w:b/>
          <w:b/>
          <w:bCs/>
          <w:szCs w:val="20"/>
          <w:lang w:bidi="ar-SA"/>
        </w:rPr>
      </w:pPr>
      <w:bookmarkStart w:id="36" w:name="_Toc6956226"/>
      <w:r>
        <w:rPr>
          <w:rFonts w:eastAsia="Times New Roman" w:ascii="Cambria" w:hAnsi="Cambria"/>
          <w:b/>
          <w:bCs/>
          <w:szCs w:val="20"/>
          <w:lang w:bidi="ar-SA"/>
        </w:rPr>
        <w:t>Обязательства по финансовой аренде</w:t>
      </w:r>
      <w:bookmarkEnd w:id="36"/>
    </w:p>
    <w:p>
      <w:pPr>
        <w:pStyle w:val="Normal"/>
        <w:spacing w:before="120" w:after="120"/>
        <w:jc w:val="both"/>
        <w:rPr>
          <w:rFonts w:ascii="Cambria" w:hAnsi="Cambria"/>
          <w:b/>
          <w:b/>
          <w:i/>
          <w:i/>
          <w:sz w:val="20"/>
          <w:szCs w:val="20"/>
        </w:rPr>
      </w:pPr>
      <w:r>
        <w:rPr>
          <w:rFonts w:ascii="Cambria" w:hAnsi="Cambria"/>
          <w:b/>
          <w:i/>
          <w:sz w:val="20"/>
          <w:szCs w:val="20"/>
        </w:rPr>
        <w:t>Основные средства, полученные по договору финансовой аренды</w:t>
      </w:r>
    </w:p>
    <w:p>
      <w:pPr>
        <w:pStyle w:val="Normal"/>
        <w:spacing w:before="120" w:after="120"/>
        <w:jc w:val="both"/>
        <w:rPr>
          <w:rFonts w:ascii="Cambria" w:hAnsi="Cambria"/>
          <w:sz w:val="20"/>
          <w:szCs w:val="20"/>
        </w:rPr>
      </w:pPr>
      <w:r>
        <w:rPr>
          <w:rFonts w:ascii="Cambria" w:hAnsi="Cambria"/>
          <w:sz w:val="20"/>
          <w:szCs w:val="20"/>
        </w:rPr>
        <w:t>Группа арендует основные средства по договорам финансовой аренды:</w:t>
      </w:r>
    </w:p>
    <w:p>
      <w:pPr>
        <w:pStyle w:val="Normal"/>
        <w:spacing w:before="120" w:after="120"/>
        <w:ind w:left="567" w:hanging="0"/>
        <w:jc w:val="both"/>
        <w:rPr>
          <w:rFonts w:ascii="Cambria" w:hAnsi="Cambria"/>
          <w:sz w:val="20"/>
          <w:szCs w:val="20"/>
        </w:rPr>
      </w:pPr>
      <w:r>
        <w:rPr>
          <w:rFonts w:ascii="Cambria" w:hAnsi="Cambria"/>
          <w:sz w:val="20"/>
          <w:szCs w:val="20"/>
        </w:rPr>
        <w:t>На 31 декабря 2018 года остаточная стоимость арендованных машин и оборудования составила 15 218 тыс. руб.</w:t>
      </w:r>
    </w:p>
    <w:p>
      <w:pPr>
        <w:pStyle w:val="Normal"/>
        <w:spacing w:before="120" w:after="120"/>
        <w:ind w:left="567" w:hanging="0"/>
        <w:jc w:val="both"/>
        <w:rPr>
          <w:rFonts w:ascii="Cambria" w:hAnsi="Cambria"/>
          <w:sz w:val="20"/>
          <w:szCs w:val="20"/>
        </w:rPr>
      </w:pPr>
      <w:r>
        <w:rPr>
          <w:rFonts w:ascii="Cambria" w:hAnsi="Cambria"/>
          <w:sz w:val="20"/>
          <w:szCs w:val="20"/>
        </w:rPr>
        <w:t>На 31 декабря 2017 года остаточная стоимость арендованных машин и оборудования составила 8 461  тыс. руб.,</w:t>
      </w:r>
    </w:p>
    <w:p>
      <w:pPr>
        <w:pStyle w:val="Normal"/>
        <w:spacing w:before="120" w:after="120"/>
        <w:ind w:left="567" w:hanging="0"/>
        <w:jc w:val="both"/>
        <w:rPr>
          <w:rFonts w:ascii="Cambria" w:hAnsi="Cambria"/>
          <w:sz w:val="20"/>
          <w:szCs w:val="20"/>
        </w:rPr>
      </w:pPr>
      <w:r>
        <w:rPr>
          <w:rFonts w:ascii="Cambria" w:hAnsi="Cambria"/>
          <w:sz w:val="20"/>
          <w:szCs w:val="20"/>
        </w:rPr>
        <w:t>На 01 января 2017 года остаточная стоимость арендованных машин и оборудования составила 22 400 тыс. руб.,</w:t>
      </w:r>
    </w:p>
    <w:p>
      <w:pPr>
        <w:pStyle w:val="Normal"/>
        <w:spacing w:before="120" w:after="120"/>
        <w:ind w:left="567" w:hanging="0"/>
        <w:jc w:val="both"/>
        <w:rPr>
          <w:rFonts w:ascii="Cambria" w:hAnsi="Cambria"/>
          <w:sz w:val="20"/>
          <w:szCs w:val="20"/>
        </w:rPr>
      </w:pPr>
      <w:r>
        <w:rPr>
          <w:rFonts w:ascii="Cambria" w:hAnsi="Cambria"/>
          <w:sz w:val="20"/>
          <w:szCs w:val="20"/>
        </w:rPr>
      </w:r>
    </w:p>
    <w:p>
      <w:pPr>
        <w:pStyle w:val="Normal"/>
        <w:spacing w:before="120" w:after="120"/>
        <w:jc w:val="both"/>
        <w:rPr>
          <w:rFonts w:ascii="Cambria" w:hAnsi="Cambria"/>
          <w:sz w:val="20"/>
          <w:szCs w:val="20"/>
        </w:rPr>
      </w:pPr>
      <w:r>
        <w:rPr>
          <w:rFonts w:ascii="Cambria" w:hAnsi="Cambria"/>
          <w:sz w:val="20"/>
          <w:szCs w:val="20"/>
        </w:rPr>
        <w:t>Начисленная амортизация за 2018 год составила по машинам и оборудованию 7 934 тыс. руб., по (за 2017 – 7 217 тыс. рублей.)</w:t>
      </w:r>
    </w:p>
    <w:p>
      <w:pPr>
        <w:pStyle w:val="Normal"/>
        <w:spacing w:before="120" w:after="120"/>
        <w:rPr>
          <w:rFonts w:ascii="Cambria" w:hAnsi="Cambria"/>
          <w:sz w:val="16"/>
          <w:szCs w:val="16"/>
        </w:rPr>
      </w:pPr>
      <w:r>
        <w:rPr>
          <w:rFonts w:ascii="Cambria" w:hAnsi="Cambria"/>
          <w:sz w:val="16"/>
          <w:szCs w:val="16"/>
        </w:rPr>
      </w:r>
    </w:p>
    <w:p>
      <w:pPr>
        <w:pStyle w:val="Normal"/>
        <w:spacing w:before="120" w:after="120"/>
        <w:jc w:val="both"/>
        <w:rPr>
          <w:rFonts w:ascii="Cambria" w:hAnsi="Cambria"/>
          <w:b/>
          <w:b/>
          <w:i/>
          <w:i/>
          <w:sz w:val="20"/>
          <w:szCs w:val="20"/>
        </w:rPr>
      </w:pPr>
      <w:r>
        <w:rPr>
          <w:rFonts w:ascii="Cambria" w:hAnsi="Cambria"/>
          <w:b/>
          <w:i/>
          <w:sz w:val="20"/>
          <w:szCs w:val="20"/>
        </w:rPr>
        <w:t xml:space="preserve"> </w:t>
      </w:r>
      <w:r>
        <w:rPr>
          <w:rFonts w:ascii="Cambria" w:hAnsi="Cambria"/>
          <w:b/>
          <w:i/>
          <w:sz w:val="20"/>
          <w:szCs w:val="20"/>
        </w:rPr>
        <w:t>Обязательства по договору финансовой аренды</w:t>
      </w:r>
    </w:p>
    <w:p>
      <w:pPr>
        <w:pStyle w:val="Normal"/>
        <w:spacing w:before="120" w:after="120"/>
        <w:rPr>
          <w:rFonts w:ascii="Cambria" w:hAnsi="Cambria"/>
          <w:sz w:val="20"/>
          <w:szCs w:val="20"/>
        </w:rPr>
      </w:pPr>
      <w:r>
        <w:rPr>
          <w:rFonts w:ascii="Cambria" w:hAnsi="Cambria"/>
          <w:sz w:val="20"/>
          <w:szCs w:val="20"/>
        </w:rPr>
        <w:t>Организация в 2017 и в 2018 году заключила договора финансовой аренды на приобретение машин и оборудования, , сроком до трех  лет с процентной ставкой от 15,02% до 25,92%. По договорам лизинга Группа имеет право выкупа транспортных средств и оборудования по номинальной стоимости в конце срока договора.</w:t>
      </w:r>
    </w:p>
    <w:p>
      <w:pPr>
        <w:pStyle w:val="Normal"/>
        <w:spacing w:before="120" w:after="120"/>
        <w:rPr>
          <w:rFonts w:ascii="Cambria" w:hAnsi="Cambria"/>
          <w:sz w:val="20"/>
          <w:szCs w:val="20"/>
        </w:rPr>
      </w:pPr>
      <w:r>
        <w:rPr>
          <w:rFonts w:ascii="Cambria" w:hAnsi="Cambria"/>
          <w:sz w:val="20"/>
          <w:szCs w:val="20"/>
        </w:rPr>
        <w:t>Обязательства по финансовой аренде на 31 декабря 2018 года представлены ниже:</w:t>
      </w:r>
    </w:p>
    <w:tbl>
      <w:tblPr>
        <w:tblW w:w="8364" w:type="dxa"/>
        <w:jc w:val="left"/>
        <w:tblInd w:w="1" w:type="dxa"/>
        <w:tblBorders>
          <w:bottom w:val="single" w:sz="8" w:space="0" w:color="000000"/>
          <w:insideH w:val="single" w:sz="8" w:space="0" w:color="000000"/>
        </w:tblBorders>
        <w:tblCellMar>
          <w:top w:w="0" w:type="dxa"/>
          <w:left w:w="108" w:type="dxa"/>
          <w:bottom w:w="0" w:type="dxa"/>
          <w:right w:w="108" w:type="dxa"/>
        </w:tblCellMar>
        <w:tblLook w:firstRow="1" w:noVBand="1" w:lastRow="0" w:firstColumn="1" w:lastColumn="0" w:noHBand="0" w:val="04a0"/>
      </w:tblPr>
      <w:tblGrid>
        <w:gridCol w:w="2919"/>
        <w:gridCol w:w="1900"/>
        <w:gridCol w:w="1700"/>
        <w:gridCol w:w="1844"/>
      </w:tblGrid>
      <w:tr>
        <w:trPr>
          <w:trHeight w:val="735" w:hRule="atLeast"/>
        </w:trPr>
        <w:tc>
          <w:tcPr>
            <w:tcW w:w="2919" w:type="dxa"/>
            <w:tcBorders>
              <w:bottom w:val="single" w:sz="8" w:space="0" w:color="000000"/>
              <w:insideH w:val="single" w:sz="8" w:space="0" w:color="000000"/>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 </w:t>
            </w:r>
          </w:p>
        </w:tc>
        <w:tc>
          <w:tcPr>
            <w:tcW w:w="1900"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Минимальные  арендные платежи</w:t>
            </w:r>
          </w:p>
        </w:tc>
        <w:tc>
          <w:tcPr>
            <w:tcW w:w="1700"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Проценты подлежащие уплате</w:t>
            </w:r>
          </w:p>
        </w:tc>
        <w:tc>
          <w:tcPr>
            <w:tcW w:w="1844"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Приведенная стоимость минимальных арендных платежей</w:t>
            </w:r>
          </w:p>
        </w:tc>
      </w:tr>
      <w:tr>
        <w:trPr>
          <w:trHeight w:val="720" w:hRule="atLeast"/>
        </w:trPr>
        <w:tc>
          <w:tcPr>
            <w:tcW w:w="2919"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К уплате по финансовой аренде:</w:t>
            </w:r>
          </w:p>
        </w:tc>
        <w:tc>
          <w:tcPr>
            <w:tcW w:w="1900"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0"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00" w:hRule="atLeast"/>
        </w:trPr>
        <w:tc>
          <w:tcPr>
            <w:tcW w:w="2919"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val="en-US" w:bidi="ar-SA"/>
              </w:rPr>
              <w:t>До 1 года</w:t>
            </w:r>
          </w:p>
        </w:tc>
        <w:tc>
          <w:tcPr>
            <w:tcW w:w="1900"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9 163</w:t>
            </w:r>
          </w:p>
        </w:tc>
        <w:tc>
          <w:tcPr>
            <w:tcW w:w="1700"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2 163</w:t>
            </w:r>
          </w:p>
        </w:tc>
        <w:tc>
          <w:tcPr>
            <w:tcW w:w="1844"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7 001</w:t>
            </w:r>
          </w:p>
        </w:tc>
      </w:tr>
      <w:tr>
        <w:trPr>
          <w:trHeight w:val="300" w:hRule="atLeast"/>
        </w:trPr>
        <w:tc>
          <w:tcPr>
            <w:tcW w:w="2919"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От двух до пяти лет</w:t>
            </w:r>
          </w:p>
        </w:tc>
        <w:tc>
          <w:tcPr>
            <w:tcW w:w="1900"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13 545</w:t>
            </w:r>
          </w:p>
        </w:tc>
        <w:tc>
          <w:tcPr>
            <w:tcW w:w="1700"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1 712</w:t>
            </w:r>
          </w:p>
        </w:tc>
        <w:tc>
          <w:tcPr>
            <w:tcW w:w="1844"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11 833</w:t>
            </w:r>
          </w:p>
        </w:tc>
      </w:tr>
      <w:tr>
        <w:trPr>
          <w:trHeight w:val="300" w:hRule="atLeast"/>
        </w:trPr>
        <w:tc>
          <w:tcPr>
            <w:tcW w:w="2919"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val="en-US" w:bidi="ar-SA"/>
              </w:rPr>
              <w:t>Свыше 5 лет</w:t>
            </w:r>
          </w:p>
        </w:tc>
        <w:tc>
          <w:tcPr>
            <w:tcW w:w="1900"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w:t>
            </w:r>
          </w:p>
        </w:tc>
        <w:tc>
          <w:tcPr>
            <w:tcW w:w="1700"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w:t>
            </w:r>
          </w:p>
        </w:tc>
        <w:tc>
          <w:tcPr>
            <w:tcW w:w="1844"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w:t>
            </w:r>
          </w:p>
        </w:tc>
      </w:tr>
      <w:tr>
        <w:trPr>
          <w:trHeight w:val="300" w:hRule="atLeast"/>
        </w:trPr>
        <w:tc>
          <w:tcPr>
            <w:tcW w:w="2919"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Итого</w:t>
            </w:r>
          </w:p>
        </w:tc>
        <w:tc>
          <w:tcPr>
            <w:tcW w:w="1900"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22 709</w:t>
            </w:r>
          </w:p>
        </w:tc>
        <w:tc>
          <w:tcPr>
            <w:tcW w:w="1700"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3 875</w:t>
            </w:r>
          </w:p>
        </w:tc>
        <w:tc>
          <w:tcPr>
            <w:tcW w:w="1844"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18 834</w:t>
            </w:r>
          </w:p>
        </w:tc>
      </w:tr>
      <w:tr>
        <w:trPr>
          <w:trHeight w:val="1200" w:hRule="atLeast"/>
        </w:trPr>
        <w:tc>
          <w:tcPr>
            <w:tcW w:w="2919"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Сумма к уплате в течение 12 месяцев после отчетной даты</w:t>
            </w:r>
          </w:p>
        </w:tc>
        <w:tc>
          <w:tcPr>
            <w:tcW w:w="1900"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7 001</w:t>
            </w:r>
          </w:p>
        </w:tc>
      </w:tr>
      <w:tr>
        <w:trPr>
          <w:trHeight w:val="300" w:hRule="atLeast"/>
        </w:trPr>
        <w:tc>
          <w:tcPr>
            <w:tcW w:w="2919" w:type="dxa"/>
            <w:vMerge w:val="restart"/>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Сумма к уплате более чем через 12 месяцев после отчетной даты</w:t>
            </w:r>
          </w:p>
        </w:tc>
        <w:tc>
          <w:tcPr>
            <w:tcW w:w="1900" w:type="dxa"/>
            <w:vMerge w:val="restart"/>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0" w:type="dxa"/>
            <w:vMerge w:val="restart"/>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15" w:hRule="atLeast"/>
        </w:trPr>
        <w:tc>
          <w:tcPr>
            <w:tcW w:w="2919"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900"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0"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11 833</w:t>
            </w:r>
          </w:p>
        </w:tc>
      </w:tr>
    </w:tbl>
    <w:p>
      <w:pPr>
        <w:pStyle w:val="Normal"/>
        <w:spacing w:before="120" w:after="120"/>
        <w:rPr>
          <w:rFonts w:ascii="Cambria" w:hAnsi="Cambria"/>
          <w:sz w:val="20"/>
          <w:szCs w:val="20"/>
        </w:rPr>
      </w:pPr>
      <w:r>
        <w:rPr>
          <w:rFonts w:ascii="Cambria" w:hAnsi="Cambria"/>
          <w:sz w:val="20"/>
          <w:szCs w:val="20"/>
        </w:rPr>
        <w:t>Обязательства по финансовой аренде на 31 декабря 2017 года:</w:t>
      </w:r>
    </w:p>
    <w:tbl>
      <w:tblPr>
        <w:tblW w:w="8364" w:type="dxa"/>
        <w:jc w:val="left"/>
        <w:tblInd w:w="1" w:type="dxa"/>
        <w:tblBorders>
          <w:bottom w:val="single" w:sz="8" w:space="0" w:color="000000"/>
          <w:insideH w:val="single" w:sz="8" w:space="0" w:color="000000"/>
        </w:tblBorders>
        <w:tblCellMar>
          <w:top w:w="0" w:type="dxa"/>
          <w:left w:w="108" w:type="dxa"/>
          <w:bottom w:w="0" w:type="dxa"/>
          <w:right w:w="108" w:type="dxa"/>
        </w:tblCellMar>
        <w:tblLook w:firstRow="1" w:noVBand="1" w:lastRow="0" w:firstColumn="1" w:lastColumn="0" w:noHBand="0" w:val="04a0"/>
      </w:tblPr>
      <w:tblGrid>
        <w:gridCol w:w="3094"/>
        <w:gridCol w:w="1726"/>
        <w:gridCol w:w="1737"/>
        <w:gridCol w:w="1806"/>
      </w:tblGrid>
      <w:tr>
        <w:trPr>
          <w:trHeight w:val="735" w:hRule="atLeast"/>
        </w:trPr>
        <w:tc>
          <w:tcPr>
            <w:tcW w:w="3094" w:type="dxa"/>
            <w:tcBorders>
              <w:bottom w:val="single" w:sz="8" w:space="0" w:color="000000"/>
              <w:insideH w:val="single" w:sz="8" w:space="0" w:color="000000"/>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 </w:t>
            </w:r>
          </w:p>
        </w:tc>
        <w:tc>
          <w:tcPr>
            <w:tcW w:w="1726"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Минимальные  арендные платежи</w:t>
            </w:r>
          </w:p>
        </w:tc>
        <w:tc>
          <w:tcPr>
            <w:tcW w:w="1737"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Проценты подлежащие уплате</w:t>
            </w:r>
          </w:p>
        </w:tc>
        <w:tc>
          <w:tcPr>
            <w:tcW w:w="1806"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Приведенная стоимость минимальных арендных платежей</w:t>
            </w:r>
          </w:p>
        </w:tc>
      </w:tr>
      <w:tr>
        <w:trPr>
          <w:trHeight w:val="720" w:hRule="atLeast"/>
        </w:trPr>
        <w:tc>
          <w:tcPr>
            <w:tcW w:w="3094"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К уплате по финансовой аренде:</w:t>
            </w:r>
          </w:p>
        </w:tc>
        <w:tc>
          <w:tcPr>
            <w:tcW w:w="1726"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37"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06"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00" w:hRule="atLeast"/>
        </w:trPr>
        <w:tc>
          <w:tcPr>
            <w:tcW w:w="3094"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val="en-US" w:bidi="ar-SA"/>
              </w:rPr>
              <w:t>До 1 года</w:t>
            </w:r>
          </w:p>
        </w:tc>
        <w:tc>
          <w:tcPr>
            <w:tcW w:w="1726"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7 649</w:t>
            </w:r>
          </w:p>
        </w:tc>
        <w:tc>
          <w:tcPr>
            <w:tcW w:w="1737"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1 252</w:t>
            </w:r>
          </w:p>
        </w:tc>
        <w:tc>
          <w:tcPr>
            <w:tcW w:w="1806"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6 398</w:t>
            </w:r>
          </w:p>
        </w:tc>
      </w:tr>
      <w:tr>
        <w:trPr>
          <w:trHeight w:val="300" w:hRule="atLeast"/>
        </w:trPr>
        <w:tc>
          <w:tcPr>
            <w:tcW w:w="3094"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От двух до пяти лет</w:t>
            </w:r>
          </w:p>
        </w:tc>
        <w:tc>
          <w:tcPr>
            <w:tcW w:w="1726"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1 900</w:t>
            </w:r>
          </w:p>
        </w:tc>
        <w:tc>
          <w:tcPr>
            <w:tcW w:w="1737"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70</w:t>
            </w:r>
          </w:p>
        </w:tc>
        <w:tc>
          <w:tcPr>
            <w:tcW w:w="1806"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1 830</w:t>
            </w:r>
          </w:p>
        </w:tc>
      </w:tr>
      <w:tr>
        <w:trPr>
          <w:trHeight w:val="300" w:hRule="atLeast"/>
        </w:trPr>
        <w:tc>
          <w:tcPr>
            <w:tcW w:w="3094"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val="en-US" w:bidi="ar-SA"/>
              </w:rPr>
              <w:t>Свыше 5 лет</w:t>
            </w:r>
          </w:p>
        </w:tc>
        <w:tc>
          <w:tcPr>
            <w:tcW w:w="1726"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w:t>
            </w:r>
          </w:p>
        </w:tc>
        <w:tc>
          <w:tcPr>
            <w:tcW w:w="1737"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w:t>
            </w:r>
          </w:p>
        </w:tc>
        <w:tc>
          <w:tcPr>
            <w:tcW w:w="1806"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w:t>
            </w:r>
          </w:p>
        </w:tc>
      </w:tr>
      <w:tr>
        <w:trPr>
          <w:trHeight w:val="300" w:hRule="atLeast"/>
        </w:trPr>
        <w:tc>
          <w:tcPr>
            <w:tcW w:w="3094"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Итого</w:t>
            </w:r>
          </w:p>
        </w:tc>
        <w:tc>
          <w:tcPr>
            <w:tcW w:w="1726"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9 550</w:t>
            </w:r>
          </w:p>
        </w:tc>
        <w:tc>
          <w:tcPr>
            <w:tcW w:w="1737"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1 322</w:t>
            </w:r>
          </w:p>
        </w:tc>
        <w:tc>
          <w:tcPr>
            <w:tcW w:w="1806"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8 228</w:t>
            </w:r>
          </w:p>
        </w:tc>
      </w:tr>
      <w:tr>
        <w:trPr>
          <w:trHeight w:val="1200" w:hRule="atLeast"/>
        </w:trPr>
        <w:tc>
          <w:tcPr>
            <w:tcW w:w="3094"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Сумма к уплате в течение 12 месяцев после отчетной даты</w:t>
            </w:r>
          </w:p>
        </w:tc>
        <w:tc>
          <w:tcPr>
            <w:tcW w:w="1726"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37"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06"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6 398</w:t>
            </w:r>
          </w:p>
        </w:tc>
      </w:tr>
      <w:tr>
        <w:trPr>
          <w:trHeight w:val="300" w:hRule="atLeast"/>
        </w:trPr>
        <w:tc>
          <w:tcPr>
            <w:tcW w:w="3094" w:type="dxa"/>
            <w:vMerge w:val="restart"/>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Сумма к уплате более чем через 12 месяцев после отчетной даты</w:t>
            </w:r>
          </w:p>
        </w:tc>
        <w:tc>
          <w:tcPr>
            <w:tcW w:w="1726" w:type="dxa"/>
            <w:vMerge w:val="restart"/>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37" w:type="dxa"/>
            <w:vMerge w:val="restart"/>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06"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15" w:hRule="atLeast"/>
        </w:trPr>
        <w:tc>
          <w:tcPr>
            <w:tcW w:w="3094"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26"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37"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06"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1 830</w:t>
            </w:r>
          </w:p>
        </w:tc>
      </w:tr>
    </w:tbl>
    <w:p>
      <w:pPr>
        <w:pStyle w:val="Normal"/>
        <w:spacing w:before="120" w:after="120"/>
        <w:ind w:right="136" w:hanging="0"/>
        <w:jc w:val="both"/>
        <w:rPr>
          <w:rFonts w:ascii="Cambria" w:hAnsi="Cambria" w:cs="Cambria"/>
          <w:sz w:val="20"/>
          <w:szCs w:val="20"/>
          <w:lang w:bidi="ar-SA"/>
        </w:rPr>
      </w:pPr>
      <w:r>
        <w:rPr>
          <w:rFonts w:cs="Cambria" w:ascii="Cambria" w:hAnsi="Cambria"/>
          <w:sz w:val="20"/>
          <w:szCs w:val="20"/>
          <w:lang w:bidi="ar-SA"/>
        </w:rPr>
      </w:r>
    </w:p>
    <w:p>
      <w:pPr>
        <w:pStyle w:val="Normal"/>
        <w:spacing w:before="120" w:after="120"/>
        <w:rPr>
          <w:rFonts w:ascii="Cambria" w:hAnsi="Cambria"/>
          <w:sz w:val="20"/>
          <w:szCs w:val="20"/>
        </w:rPr>
      </w:pPr>
      <w:r>
        <w:rPr>
          <w:rFonts w:ascii="Cambria" w:hAnsi="Cambria"/>
          <w:sz w:val="20"/>
          <w:szCs w:val="20"/>
        </w:rPr>
        <w:t>Обязательства по финансовой аренде на 01 января 2017 года:</w:t>
      </w:r>
    </w:p>
    <w:tbl>
      <w:tblPr>
        <w:tblW w:w="8364" w:type="dxa"/>
        <w:jc w:val="left"/>
        <w:tblInd w:w="1" w:type="dxa"/>
        <w:tblBorders>
          <w:bottom w:val="single" w:sz="8" w:space="0" w:color="000000"/>
          <w:insideH w:val="single" w:sz="8" w:space="0" w:color="000000"/>
        </w:tblBorders>
        <w:tblCellMar>
          <w:top w:w="0" w:type="dxa"/>
          <w:left w:w="108" w:type="dxa"/>
          <w:bottom w:w="0" w:type="dxa"/>
          <w:right w:w="108" w:type="dxa"/>
        </w:tblCellMar>
        <w:tblLook w:firstRow="1" w:noVBand="1" w:lastRow="0" w:firstColumn="1" w:lastColumn="0" w:noHBand="0" w:val="04a0"/>
      </w:tblPr>
      <w:tblGrid>
        <w:gridCol w:w="3118"/>
        <w:gridCol w:w="1701"/>
        <w:gridCol w:w="1700"/>
        <w:gridCol w:w="1844"/>
      </w:tblGrid>
      <w:tr>
        <w:trPr>
          <w:trHeight w:val="765" w:hRule="atLeast"/>
        </w:trPr>
        <w:tc>
          <w:tcPr>
            <w:tcW w:w="3118" w:type="dxa"/>
            <w:tcBorders>
              <w:bottom w:val="single" w:sz="8" w:space="0" w:color="000000"/>
              <w:insideH w:val="single" w:sz="8" w:space="0" w:color="000000"/>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 </w:t>
            </w:r>
          </w:p>
        </w:tc>
        <w:tc>
          <w:tcPr>
            <w:tcW w:w="1701"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Минимальные  арендные платежи</w:t>
            </w:r>
          </w:p>
        </w:tc>
        <w:tc>
          <w:tcPr>
            <w:tcW w:w="1700"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Проценты подлежащие уплате</w:t>
            </w:r>
          </w:p>
        </w:tc>
        <w:tc>
          <w:tcPr>
            <w:tcW w:w="1844" w:type="dxa"/>
            <w:tcBorders>
              <w:top w:val="single" w:sz="8" w:space="0" w:color="000000"/>
              <w:bottom w:val="single" w:sz="8" w:space="0" w:color="000000"/>
              <w:insideH w:val="single" w:sz="8" w:space="0" w:color="000000"/>
            </w:tcBorders>
            <w:shd w:fill="auto" w:val="clear"/>
            <w:vAlign w:val="center"/>
          </w:tcPr>
          <w:p>
            <w:pPr>
              <w:pStyle w:val="Normal"/>
              <w:jc w:val="center"/>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Приведенная стоимость минимальных арендных платежей</w:t>
            </w:r>
          </w:p>
        </w:tc>
      </w:tr>
      <w:tr>
        <w:trPr>
          <w:trHeight w:val="390" w:hRule="atLeast"/>
        </w:trPr>
        <w:tc>
          <w:tcPr>
            <w:tcW w:w="3118"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К уплате по финансовой аренде:</w:t>
            </w:r>
          </w:p>
        </w:tc>
        <w:tc>
          <w:tcPr>
            <w:tcW w:w="1701"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0"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90" w:hRule="atLeast"/>
        </w:trPr>
        <w:tc>
          <w:tcPr>
            <w:tcW w:w="3118"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val="en-US" w:bidi="ar-SA"/>
              </w:rPr>
              <w:t>До 1 года</w:t>
            </w:r>
          </w:p>
        </w:tc>
        <w:tc>
          <w:tcPr>
            <w:tcW w:w="1701"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7 649</w:t>
            </w:r>
          </w:p>
        </w:tc>
        <w:tc>
          <w:tcPr>
            <w:tcW w:w="1700"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2 565</w:t>
            </w:r>
          </w:p>
        </w:tc>
        <w:tc>
          <w:tcPr>
            <w:tcW w:w="1844"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5 084</w:t>
            </w:r>
          </w:p>
        </w:tc>
      </w:tr>
      <w:tr>
        <w:trPr>
          <w:trHeight w:val="390" w:hRule="atLeast"/>
        </w:trPr>
        <w:tc>
          <w:tcPr>
            <w:tcW w:w="3118"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От двух до пяти лет</w:t>
            </w:r>
          </w:p>
        </w:tc>
        <w:tc>
          <w:tcPr>
            <w:tcW w:w="1701"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9 540</w:t>
            </w:r>
          </w:p>
        </w:tc>
        <w:tc>
          <w:tcPr>
            <w:tcW w:w="1700"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1 322</w:t>
            </w:r>
          </w:p>
        </w:tc>
        <w:tc>
          <w:tcPr>
            <w:tcW w:w="1844" w:type="dxa"/>
            <w:tcBorders/>
            <w:shd w:fill="auto" w:val="clear"/>
            <w:vAlign w:val="center"/>
          </w:tcPr>
          <w:p>
            <w:pPr>
              <w:pStyle w:val="Normal"/>
              <w:jc w:val="right"/>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t>8 218</w:t>
            </w:r>
          </w:p>
        </w:tc>
      </w:tr>
      <w:tr>
        <w:trPr>
          <w:trHeight w:val="390" w:hRule="atLeast"/>
        </w:trPr>
        <w:tc>
          <w:tcPr>
            <w:tcW w:w="3118"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val="en-US" w:bidi="ar-SA"/>
              </w:rPr>
              <w:t>Свыше 5 лет</w:t>
            </w:r>
          </w:p>
        </w:tc>
        <w:tc>
          <w:tcPr>
            <w:tcW w:w="1701" w:type="dxa"/>
            <w:tcBorders/>
            <w:shd w:fill="auto" w:val="clear"/>
            <w:vAlign w:val="center"/>
          </w:tcPr>
          <w:p>
            <w:pPr>
              <w:pStyle w:val="Normal"/>
              <w:rPr>
                <w:rFonts w:ascii="Times New Roman" w:hAnsi="Times New Roman" w:eastAsia="Times New Roman"/>
                <w:color w:val="000000"/>
                <w:sz w:val="18"/>
                <w:szCs w:val="18"/>
                <w:lang w:bidi="ar-SA"/>
              </w:rPr>
            </w:pPr>
            <w:r>
              <w:rPr>
                <w:rFonts w:eastAsia="Times New Roman" w:ascii="Times New Roman" w:hAnsi="Times New Roman"/>
                <w:color w:val="000000"/>
                <w:sz w:val="18"/>
                <w:szCs w:val="18"/>
                <w:lang w:bidi="ar-SA"/>
              </w:rPr>
            </w:r>
          </w:p>
        </w:tc>
        <w:tc>
          <w:tcPr>
            <w:tcW w:w="170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210" w:hRule="atLeast"/>
        </w:trPr>
        <w:tc>
          <w:tcPr>
            <w:tcW w:w="3118"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Итого</w:t>
            </w:r>
          </w:p>
        </w:tc>
        <w:tc>
          <w:tcPr>
            <w:tcW w:w="1701"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17 189</w:t>
            </w:r>
          </w:p>
        </w:tc>
        <w:tc>
          <w:tcPr>
            <w:tcW w:w="1700"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3 887</w:t>
            </w:r>
          </w:p>
        </w:tc>
        <w:tc>
          <w:tcPr>
            <w:tcW w:w="1844"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val="en-US" w:bidi="ar-SA"/>
              </w:rPr>
              <w:t>13 302</w:t>
            </w:r>
          </w:p>
        </w:tc>
      </w:tr>
      <w:tr>
        <w:trPr>
          <w:trHeight w:val="240" w:hRule="atLeast"/>
        </w:trPr>
        <w:tc>
          <w:tcPr>
            <w:tcW w:w="3118"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Сумма к уплате в течение 12 месяцев после отчетной даты</w:t>
            </w:r>
          </w:p>
        </w:tc>
        <w:tc>
          <w:tcPr>
            <w:tcW w:w="1701"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5 084</w:t>
            </w:r>
          </w:p>
        </w:tc>
      </w:tr>
      <w:tr>
        <w:trPr>
          <w:trHeight w:val="300" w:hRule="atLeast"/>
        </w:trPr>
        <w:tc>
          <w:tcPr>
            <w:tcW w:w="3118" w:type="dxa"/>
            <w:vMerge w:val="restart"/>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Сумма к уплате более чем через 12 месяцев после отчетной даты</w:t>
            </w:r>
          </w:p>
        </w:tc>
        <w:tc>
          <w:tcPr>
            <w:tcW w:w="1701" w:type="dxa"/>
            <w:vMerge w:val="restart"/>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0" w:type="dxa"/>
            <w:vMerge w:val="restart"/>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15" w:hRule="atLeast"/>
        </w:trPr>
        <w:tc>
          <w:tcPr>
            <w:tcW w:w="3118"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1"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700" w:type="dxa"/>
            <w:vMerge w:val="continue"/>
            <w:tcBorders>
              <w:bottom w:val="single" w:sz="8" w:space="0" w:color="000000"/>
              <w:insideH w:val="single" w:sz="8" w:space="0" w:color="000000"/>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4"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8 218</w:t>
            </w:r>
          </w:p>
        </w:tc>
      </w:tr>
    </w:tbl>
    <w:p>
      <w:pPr>
        <w:pStyle w:val="Normal"/>
        <w:spacing w:before="120" w:after="120"/>
        <w:ind w:right="134" w:hanging="0"/>
        <w:rPr>
          <w:rFonts w:ascii="Cambria" w:hAnsi="Cambria" w:cs="Cambria"/>
          <w:lang w:bidi="ar-SA"/>
        </w:rPr>
      </w:pPr>
      <w:r>
        <w:rPr>
          <w:rFonts w:cs="Cambria" w:ascii="Cambria" w:hAnsi="Cambria"/>
          <w:lang w:bidi="ar-SA"/>
        </w:rPr>
      </w:r>
    </w:p>
    <w:p>
      <w:pPr>
        <w:pStyle w:val="Normal"/>
        <w:spacing w:before="120" w:after="120"/>
        <w:ind w:right="134" w:hanging="0"/>
        <w:rPr>
          <w:rFonts w:ascii="Cambria" w:hAnsi="Cambria" w:cs="Cambria"/>
          <w:lang w:bidi="ar-SA"/>
        </w:rPr>
      </w:pPr>
      <w:r>
        <w:rPr>
          <w:rFonts w:cs="Cambria" w:ascii="Cambria" w:hAnsi="Cambria"/>
          <w:lang w:bidi="ar-SA"/>
        </w:rPr>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bookmarkStart w:id="37" w:name="_Toc511723892"/>
      <w:bookmarkStart w:id="38" w:name="_Toc484003020"/>
      <w:r>
        <w:rPr>
          <w:rFonts w:eastAsia="Times New Roman" w:cs="Arial" w:ascii="Cambria" w:hAnsi="Cambria"/>
          <w:b/>
          <w:bCs/>
          <w:kern w:val="2"/>
          <w:szCs w:val="20"/>
        </w:rPr>
        <w:t>ОТЛОЖЕННЫЕ НАЛОГИ</w:t>
      </w:r>
      <w:bookmarkEnd w:id="37"/>
      <w:bookmarkEnd w:id="38"/>
      <w:r>
        <w:rPr>
          <w:rFonts w:eastAsia="Times New Roman" w:cs="Arial" w:ascii="Cambria" w:hAnsi="Cambria"/>
          <w:b/>
          <w:bCs/>
          <w:kern w:val="2"/>
          <w:szCs w:val="20"/>
        </w:rPr>
        <w:t xml:space="preserve"> </w:t>
      </w:r>
    </w:p>
    <w:tbl>
      <w:tblPr>
        <w:tblW w:w="8789" w:type="dxa"/>
        <w:jc w:val="left"/>
        <w:tblInd w:w="1" w:type="dxa"/>
        <w:tblBorders/>
        <w:tblCellMar>
          <w:top w:w="0" w:type="dxa"/>
          <w:left w:w="108" w:type="dxa"/>
          <w:bottom w:w="0" w:type="dxa"/>
          <w:right w:w="108" w:type="dxa"/>
        </w:tblCellMar>
        <w:tblLook w:firstRow="1" w:noVBand="1" w:lastRow="0" w:firstColumn="1" w:lastColumn="0" w:noHBand="0" w:val="04a0"/>
      </w:tblPr>
      <w:tblGrid>
        <w:gridCol w:w="4139"/>
        <w:gridCol w:w="2381"/>
        <w:gridCol w:w="2269"/>
      </w:tblGrid>
      <w:tr>
        <w:trPr>
          <w:trHeight w:val="240" w:hRule="atLeast"/>
        </w:trPr>
        <w:tc>
          <w:tcPr>
            <w:tcW w:w="413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Расходы по налогу на прибыль</w:t>
            </w:r>
          </w:p>
        </w:tc>
        <w:tc>
          <w:tcPr>
            <w:tcW w:w="2381"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2269"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570" w:hRule="atLeast"/>
        </w:trPr>
        <w:tc>
          <w:tcPr>
            <w:tcW w:w="4139" w:type="dxa"/>
            <w:tcBorders/>
            <w:shd w:color="000000" w:fill="FFFFFF" w:val="clear"/>
            <w:vAlign w:val="center"/>
          </w:tcPr>
          <w:p>
            <w:pPr>
              <w:pStyle w:val="Normal"/>
              <w:rPr>
                <w:rFonts w:ascii="Calibri" w:hAnsi="Calibri" w:eastAsia="Times New Roman" w:cs="Calibri"/>
                <w:color w:val="000000"/>
                <w:sz w:val="22"/>
                <w:szCs w:val="22"/>
                <w:lang w:bidi="ar-SA"/>
              </w:rPr>
            </w:pPr>
            <w:r>
              <w:rPr>
                <w:rFonts w:eastAsia="Times New Roman" w:cs="Calibri"/>
                <w:color w:val="000000"/>
                <w:sz w:val="22"/>
                <w:szCs w:val="22"/>
                <w:lang w:bidi="ar-SA"/>
              </w:rPr>
              <w:t> </w:t>
            </w:r>
          </w:p>
        </w:tc>
        <w:tc>
          <w:tcPr>
            <w:tcW w:w="2381" w:type="dxa"/>
            <w:tcBorders>
              <w:bottom w:val="single" w:sz="8" w:space="0" w:color="000000"/>
              <w:insideH w:val="single" w:sz="8" w:space="0" w:color="000000"/>
            </w:tcBorders>
            <w:shd w:color="000000" w:fill="FFFFFF"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20"/>
                <w:lang w:bidi="ar-SA"/>
              </w:rPr>
              <w:t xml:space="preserve">2018 </w:t>
            </w:r>
          </w:p>
        </w:tc>
        <w:tc>
          <w:tcPr>
            <w:tcW w:w="2269" w:type="dxa"/>
            <w:tcBorders>
              <w:bottom w:val="single" w:sz="8" w:space="0" w:color="000000"/>
              <w:insideH w:val="single" w:sz="8" w:space="0" w:color="000000"/>
            </w:tcBorders>
            <w:shd w:color="000000" w:fill="FFFFFF"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20"/>
                <w:lang w:bidi="ar-SA"/>
              </w:rPr>
              <w:t xml:space="preserve">2017 </w:t>
            </w:r>
          </w:p>
        </w:tc>
      </w:tr>
      <w:tr>
        <w:trPr>
          <w:trHeight w:val="240" w:hRule="atLeast"/>
        </w:trPr>
        <w:tc>
          <w:tcPr>
            <w:tcW w:w="4139" w:type="dxa"/>
            <w:tcBorders/>
            <w:shd w:color="000000" w:fill="FFFFFF" w:val="clear"/>
            <w:vAlign w:val="center"/>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Текущий налог на прибыль</w:t>
            </w:r>
          </w:p>
        </w:tc>
        <w:tc>
          <w:tcPr>
            <w:tcW w:w="2381" w:type="dxa"/>
            <w:tcBorders/>
            <w:shd w:color="000000" w:fill="FFFFFF"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105 111 </w:t>
            </w:r>
          </w:p>
        </w:tc>
        <w:tc>
          <w:tcPr>
            <w:tcW w:w="2269" w:type="dxa"/>
            <w:tcBorders/>
            <w:shd w:color="000000" w:fill="FFFFFF"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59 364 </w:t>
            </w:r>
          </w:p>
        </w:tc>
      </w:tr>
      <w:tr>
        <w:trPr>
          <w:trHeight w:val="240" w:hRule="atLeast"/>
        </w:trPr>
        <w:tc>
          <w:tcPr>
            <w:tcW w:w="4139" w:type="dxa"/>
            <w:tcBorders/>
            <w:shd w:color="000000" w:fill="FFFFFF" w:val="clear"/>
            <w:vAlign w:val="center"/>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Отложенные налоги</w:t>
            </w:r>
          </w:p>
        </w:tc>
        <w:tc>
          <w:tcPr>
            <w:tcW w:w="2381" w:type="dxa"/>
            <w:tcBorders>
              <w:bottom w:val="single" w:sz="8" w:space="0" w:color="000000"/>
              <w:insideH w:val="single" w:sz="8" w:space="0" w:color="000000"/>
            </w:tcBorders>
            <w:shd w:color="000000" w:fill="FFFFFF"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(55 297)</w:t>
            </w:r>
          </w:p>
        </w:tc>
        <w:tc>
          <w:tcPr>
            <w:tcW w:w="2269" w:type="dxa"/>
            <w:tcBorders>
              <w:bottom w:val="single" w:sz="8" w:space="0" w:color="000000"/>
              <w:insideH w:val="single" w:sz="8" w:space="0" w:color="000000"/>
            </w:tcBorders>
            <w:shd w:color="000000" w:fill="FFFFFF"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(52 549)</w:t>
            </w:r>
          </w:p>
        </w:tc>
      </w:tr>
      <w:tr>
        <w:trPr>
          <w:trHeight w:val="240" w:hRule="atLeast"/>
        </w:trPr>
        <w:tc>
          <w:tcPr>
            <w:tcW w:w="4139" w:type="dxa"/>
            <w:tcBorders/>
            <w:shd w:color="000000" w:fill="FFFFFF" w:val="clear"/>
            <w:vAlign w:val="center"/>
          </w:tcPr>
          <w:p>
            <w:pPr>
              <w:pStyle w:val="Normal"/>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Итого</w:t>
            </w:r>
          </w:p>
        </w:tc>
        <w:tc>
          <w:tcPr>
            <w:tcW w:w="2381" w:type="dxa"/>
            <w:tcBorders>
              <w:bottom w:val="double" w:sz="6" w:space="0" w:color="000000"/>
              <w:insideH w:val="double" w:sz="6" w:space="0" w:color="000000"/>
            </w:tcBorders>
            <w:shd w:color="000000" w:fill="FFFFFF" w:val="clear"/>
            <w:vAlign w:val="center"/>
          </w:tcPr>
          <w:p>
            <w:pPr>
              <w:pStyle w:val="Normal"/>
              <w:jc w:val="right"/>
              <w:rPr>
                <w:rFonts w:ascii="Cambria" w:hAnsi="Cambria" w:eastAsia="Times New Roman" w:cs="Calibri"/>
                <w:b/>
                <w:b/>
                <w:bCs/>
                <w:color w:val="000000"/>
                <w:sz w:val="18"/>
                <w:szCs w:val="18"/>
                <w:lang w:bidi="ar-SA"/>
              </w:rPr>
            </w:pPr>
            <w:r>
              <w:rPr>
                <w:rFonts w:cs="Calibri" w:ascii="Cambria" w:hAnsi="Cambria"/>
                <w:b/>
                <w:bCs/>
                <w:color w:val="000000"/>
                <w:sz w:val="18"/>
                <w:szCs w:val="18"/>
              </w:rPr>
              <w:t xml:space="preserve">                   </w:t>
            </w:r>
            <w:r>
              <w:rPr>
                <w:rFonts w:cs="Calibri" w:ascii="Cambria" w:hAnsi="Cambria"/>
                <w:b/>
                <w:bCs/>
                <w:color w:val="000000"/>
                <w:sz w:val="18"/>
                <w:szCs w:val="18"/>
              </w:rPr>
              <w:t xml:space="preserve">49 814 </w:t>
            </w:r>
          </w:p>
        </w:tc>
        <w:tc>
          <w:tcPr>
            <w:tcW w:w="2269" w:type="dxa"/>
            <w:tcBorders>
              <w:bottom w:val="double" w:sz="6" w:space="0" w:color="000000"/>
              <w:insideH w:val="double" w:sz="6" w:space="0" w:color="000000"/>
            </w:tcBorders>
            <w:shd w:color="000000" w:fill="FFFFFF" w:val="clear"/>
            <w:vAlign w:val="center"/>
          </w:tcPr>
          <w:p>
            <w:pPr>
              <w:pStyle w:val="Normal"/>
              <w:jc w:val="right"/>
              <w:rPr>
                <w:rFonts w:ascii="Cambria" w:hAnsi="Cambria" w:eastAsia="Times New Roman" w:cs="Calibri"/>
                <w:b/>
                <w:b/>
                <w:bCs/>
                <w:color w:val="000000"/>
                <w:sz w:val="18"/>
                <w:szCs w:val="18"/>
                <w:lang w:bidi="ar-SA"/>
              </w:rPr>
            </w:pPr>
            <w:r>
              <w:rPr>
                <w:rFonts w:cs="Calibri" w:ascii="Cambria" w:hAnsi="Cambria"/>
                <w:b/>
                <w:bCs/>
                <w:color w:val="000000"/>
                <w:sz w:val="18"/>
                <w:szCs w:val="18"/>
              </w:rPr>
              <w:t xml:space="preserve">                     </w:t>
            </w:r>
            <w:r>
              <w:rPr>
                <w:rFonts w:cs="Calibri" w:ascii="Cambria" w:hAnsi="Cambria"/>
                <w:b/>
                <w:bCs/>
                <w:color w:val="000000"/>
                <w:sz w:val="18"/>
                <w:szCs w:val="18"/>
              </w:rPr>
              <w:t xml:space="preserve">6 814 </w:t>
            </w:r>
          </w:p>
        </w:tc>
      </w:tr>
    </w:tbl>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В течение периода, завершившегося 31 декабря 2018 года ставка налога на прибыль в Российской Федерации составляла 20%.</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Сверка налога на прибыль, рассчитанного на основе действующей в Российской Федерации ставки налога на прибыль, с суммой действительно понесенных расходов по налогу прибыль представлена следующим образом:</w:t>
      </w:r>
    </w:p>
    <w:tbl>
      <w:tblPr>
        <w:tblW w:w="4250" w:type="pct"/>
        <w:jc w:val="left"/>
        <w:tblInd w:w="1" w:type="dxa"/>
        <w:tblBorders/>
        <w:tblCellMar>
          <w:top w:w="0" w:type="dxa"/>
          <w:left w:w="108" w:type="dxa"/>
          <w:bottom w:w="0" w:type="dxa"/>
          <w:right w:w="108" w:type="dxa"/>
        </w:tblCellMar>
        <w:tblLook w:firstRow="1" w:noVBand="1" w:lastRow="0" w:firstColumn="1" w:lastColumn="0" w:noHBand="0" w:val="04a0"/>
      </w:tblPr>
      <w:tblGrid>
        <w:gridCol w:w="3010"/>
        <w:gridCol w:w="1169"/>
        <w:gridCol w:w="0"/>
        <w:gridCol w:w="1954"/>
        <w:gridCol w:w="1"/>
        <w:gridCol w:w="1816"/>
      </w:tblGrid>
      <w:tr>
        <w:trPr>
          <w:trHeight w:val="20" w:hRule="atLeast"/>
        </w:trPr>
        <w:tc>
          <w:tcPr>
            <w:tcW w:w="3010" w:type="dxa"/>
            <w:tcBorders/>
            <w:shd w:fill="auto" w:val="clear"/>
            <w:vAlign w:val="center"/>
          </w:tcPr>
          <w:p>
            <w:pPr>
              <w:pStyle w:val="Normal"/>
              <w:ind w:right="134" w:hanging="0"/>
              <w:jc w:val="center"/>
              <w:rPr>
                <w:rFonts w:ascii="Cambria" w:hAnsi="Cambria" w:eastAsia="Times New Roman"/>
                <w:bCs/>
                <w:sz w:val="18"/>
                <w:szCs w:val="20"/>
              </w:rPr>
            </w:pPr>
            <w:r>
              <w:rPr>
                <w:rFonts w:eastAsia="Times New Roman" w:ascii="Cambria" w:hAnsi="Cambria"/>
                <w:bCs/>
                <w:sz w:val="18"/>
                <w:szCs w:val="20"/>
              </w:rPr>
            </w:r>
          </w:p>
        </w:tc>
        <w:tc>
          <w:tcPr>
            <w:tcW w:w="1169" w:type="dxa"/>
            <w:gridSpan w:val="2"/>
            <w:tcBorders/>
            <w:shd w:fill="auto" w:val="clear"/>
            <w:vAlign w:val="center"/>
          </w:tcPr>
          <w:p>
            <w:pPr>
              <w:pStyle w:val="Normal"/>
              <w:ind w:right="134" w:hanging="0"/>
              <w:jc w:val="center"/>
              <w:rPr>
                <w:rFonts w:ascii="Cambria" w:hAnsi="Cambria" w:eastAsia="Times New Roman"/>
                <w:bCs/>
                <w:sz w:val="18"/>
                <w:szCs w:val="20"/>
              </w:rPr>
            </w:pPr>
            <w:r>
              <w:rPr>
                <w:rFonts w:eastAsia="Times New Roman" w:ascii="Cambria" w:hAnsi="Cambria"/>
                <w:bCs/>
                <w:sz w:val="18"/>
                <w:szCs w:val="20"/>
              </w:rPr>
            </w:r>
          </w:p>
        </w:tc>
        <w:tc>
          <w:tcPr>
            <w:tcW w:w="1955" w:type="dxa"/>
            <w:gridSpan w:val="2"/>
            <w:tcBorders>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bCs/>
                <w:sz w:val="18"/>
                <w:szCs w:val="20"/>
              </w:rPr>
            </w:pPr>
            <w:r>
              <w:rPr>
                <w:rFonts w:eastAsia="Times New Roman" w:cs="Calibri" w:ascii="Cambria" w:hAnsi="Cambria"/>
                <w:b/>
                <w:bCs/>
                <w:color w:val="000000"/>
                <w:sz w:val="18"/>
                <w:szCs w:val="20"/>
                <w:lang w:bidi="ar-SA"/>
              </w:rPr>
              <w:t>2018</w:t>
            </w:r>
          </w:p>
        </w:tc>
        <w:tc>
          <w:tcPr>
            <w:tcW w:w="1816" w:type="dxa"/>
            <w:tcBorders>
              <w:bottom w:val="single" w:sz="4" w:space="0" w:color="000000"/>
              <w:insideH w:val="single" w:sz="4" w:space="0" w:color="000000"/>
            </w:tcBorders>
            <w:shd w:fill="auto" w:val="clear"/>
            <w:vAlign w:val="center"/>
          </w:tcPr>
          <w:p>
            <w:pPr>
              <w:pStyle w:val="Normal"/>
              <w:ind w:right="134" w:hanging="0"/>
              <w:jc w:val="center"/>
              <w:rPr>
                <w:rFonts w:ascii="Cambria" w:hAnsi="Cambria" w:eastAsia="Times New Roman"/>
                <w:b/>
                <w:b/>
                <w:bCs/>
                <w:sz w:val="18"/>
                <w:szCs w:val="20"/>
              </w:rPr>
            </w:pPr>
            <w:r>
              <w:rPr>
                <w:rFonts w:eastAsia="Times New Roman" w:cs="Calibri" w:ascii="Cambria" w:hAnsi="Cambria"/>
                <w:b/>
                <w:bCs/>
                <w:color w:val="000000"/>
                <w:sz w:val="18"/>
                <w:szCs w:val="20"/>
                <w:lang w:bidi="ar-SA"/>
              </w:rPr>
              <w:t>2017</w:t>
            </w:r>
          </w:p>
        </w:tc>
      </w:tr>
      <w:tr>
        <w:trPr>
          <w:trHeight w:val="20" w:hRule="atLeast"/>
        </w:trPr>
        <w:tc>
          <w:tcPr>
            <w:tcW w:w="4179" w:type="dxa"/>
            <w:gridSpan w:val="2"/>
            <w:tcBorders/>
            <w:shd w:color="000000" w:fill="FFFFFF" w:val="clear"/>
            <w:vAlign w:val="center"/>
          </w:tcPr>
          <w:p>
            <w:pPr>
              <w:pStyle w:val="Normal"/>
              <w:spacing w:lineRule="auto" w:line="228"/>
              <w:ind w:right="134" w:hanging="0"/>
              <w:rPr>
                <w:rFonts w:ascii="Cambria" w:hAnsi="Cambria" w:eastAsia="Times New Roman"/>
                <w:bCs/>
                <w:sz w:val="18"/>
                <w:szCs w:val="20"/>
              </w:rPr>
            </w:pPr>
            <w:r>
              <w:rPr>
                <w:rFonts w:eastAsia="Times New Roman" w:ascii="Cambria" w:hAnsi="Cambria"/>
                <w:sz w:val="18"/>
                <w:szCs w:val="20"/>
              </w:rPr>
              <w:t>Прибыль до налогообложения</w:t>
            </w:r>
          </w:p>
        </w:tc>
        <w:tc>
          <w:tcPr>
            <w:tcW w:w="1954" w:type="dxa"/>
            <w:gridSpan w:val="2"/>
            <w:tcBorders>
              <w:top w:val="single" w:sz="4" w:space="0" w:color="000000"/>
              <w:bottom w:val="single" w:sz="4" w:space="0" w:color="000000"/>
              <w:insideH w:val="single" w:sz="4" w:space="0" w:color="000000"/>
            </w:tcBorders>
            <w:shd w:color="000000" w:fill="FFFFFF" w:val="clear"/>
            <w:vAlign w:val="center"/>
          </w:tcPr>
          <w:p>
            <w:pPr>
              <w:pStyle w:val="Normal"/>
              <w:ind w:right="109" w:hanging="0"/>
              <w:jc w:val="center"/>
              <w:rPr>
                <w:rFonts w:ascii="Cambria" w:hAnsi="Cambria" w:eastAsia="Times New Roman"/>
                <w:b/>
                <w:b/>
                <w:sz w:val="18"/>
                <w:szCs w:val="20"/>
              </w:rPr>
            </w:pPr>
            <w:r>
              <w:rPr>
                <w:rFonts w:cs="Calibri" w:ascii="Cambria" w:hAnsi="Cambria"/>
                <w:b/>
                <w:bCs/>
                <w:color w:val="000000"/>
                <w:sz w:val="18"/>
                <w:szCs w:val="18"/>
              </w:rPr>
              <w:t xml:space="preserve">                </w:t>
            </w:r>
            <w:r>
              <w:rPr>
                <w:rFonts w:cs="Calibri" w:ascii="Cambria" w:hAnsi="Cambria"/>
                <w:b/>
                <w:bCs/>
                <w:color w:val="000000"/>
                <w:sz w:val="18"/>
                <w:szCs w:val="18"/>
              </w:rPr>
              <w:t xml:space="preserve">203 272 </w:t>
            </w:r>
          </w:p>
        </w:tc>
        <w:tc>
          <w:tcPr>
            <w:tcW w:w="1817" w:type="dxa"/>
            <w:gridSpan w:val="2"/>
            <w:tcBorders>
              <w:top w:val="single" w:sz="4" w:space="0" w:color="000000"/>
              <w:bottom w:val="single" w:sz="4" w:space="0" w:color="000000"/>
              <w:insideH w:val="single" w:sz="4" w:space="0" w:color="000000"/>
            </w:tcBorders>
            <w:shd w:color="000000" w:fill="FFFFFF" w:val="clear"/>
            <w:vAlign w:val="center"/>
          </w:tcPr>
          <w:p>
            <w:pPr>
              <w:pStyle w:val="Normal"/>
              <w:ind w:right="134" w:hanging="0"/>
              <w:jc w:val="center"/>
              <w:rPr>
                <w:rFonts w:ascii="Cambria" w:hAnsi="Cambria" w:eastAsia="Times New Roman"/>
                <w:b/>
                <w:b/>
                <w:sz w:val="18"/>
                <w:szCs w:val="20"/>
              </w:rPr>
            </w:pPr>
            <w:r>
              <w:rPr>
                <w:rFonts w:cs="Calibri" w:ascii="Cambria" w:hAnsi="Cambria"/>
                <w:b/>
                <w:bCs/>
                <w:color w:val="000000"/>
                <w:sz w:val="18"/>
                <w:szCs w:val="18"/>
              </w:rPr>
              <w:t xml:space="preserve">                    </w:t>
            </w:r>
            <w:r>
              <w:rPr>
                <w:rFonts w:cs="Calibri" w:ascii="Cambria" w:hAnsi="Cambria"/>
                <w:b/>
                <w:bCs/>
                <w:color w:val="000000"/>
                <w:sz w:val="18"/>
                <w:szCs w:val="18"/>
              </w:rPr>
              <w:t>(55 619)</w:t>
            </w:r>
          </w:p>
        </w:tc>
      </w:tr>
      <w:tr>
        <w:trPr>
          <w:trHeight w:val="20" w:hRule="atLeast"/>
        </w:trPr>
        <w:tc>
          <w:tcPr>
            <w:tcW w:w="4179" w:type="dxa"/>
            <w:gridSpan w:val="2"/>
            <w:tcBorders/>
            <w:shd w:color="000000" w:fill="FFFFFF" w:val="clear"/>
            <w:vAlign w:val="center"/>
          </w:tcPr>
          <w:p>
            <w:pPr>
              <w:pStyle w:val="Normal"/>
              <w:spacing w:lineRule="auto" w:line="228"/>
              <w:ind w:right="134" w:hanging="0"/>
              <w:rPr>
                <w:rFonts w:ascii="Cambria" w:hAnsi="Cambria" w:eastAsia="Times New Roman"/>
                <w:sz w:val="18"/>
                <w:szCs w:val="20"/>
              </w:rPr>
            </w:pPr>
            <w:r>
              <w:rPr>
                <w:rFonts w:eastAsia="Times New Roman" w:ascii="Cambria" w:hAnsi="Cambria"/>
                <w:sz w:val="18"/>
                <w:szCs w:val="20"/>
              </w:rPr>
              <w:t>Теоретический налог на прибыль по ставке 20%</w:t>
            </w:r>
          </w:p>
        </w:tc>
        <w:tc>
          <w:tcPr>
            <w:tcW w:w="1954" w:type="dxa"/>
            <w:gridSpan w:val="2"/>
            <w:tcBorders>
              <w:top w:val="single" w:sz="4" w:space="0" w:color="000000"/>
            </w:tcBorders>
            <w:shd w:color="000000" w:fill="FFFFFF" w:val="clear"/>
            <w:vAlign w:val="center"/>
          </w:tcPr>
          <w:p>
            <w:pPr>
              <w:pStyle w:val="Normal"/>
              <w:ind w:right="109" w:hanging="0"/>
              <w:jc w:val="center"/>
              <w:rPr>
                <w:rFonts w:ascii="Cambria" w:hAnsi="Cambria" w:eastAsia="Times New Roman"/>
                <w:sz w:val="18"/>
                <w:szCs w:val="20"/>
              </w:rPr>
            </w:pPr>
            <w:r>
              <w:rPr>
                <w:rFonts w:cs="Calibri" w:ascii="Cambria" w:hAnsi="Cambria"/>
                <w:color w:val="000000"/>
                <w:sz w:val="18"/>
                <w:szCs w:val="18"/>
              </w:rPr>
              <w:t xml:space="preserve">                </w:t>
            </w:r>
            <w:r>
              <w:rPr>
                <w:rFonts w:cs="Calibri" w:ascii="Cambria" w:hAnsi="Cambria"/>
                <w:color w:val="000000"/>
                <w:sz w:val="18"/>
                <w:szCs w:val="18"/>
              </w:rPr>
              <w:t>(40 654)</w:t>
            </w:r>
          </w:p>
        </w:tc>
        <w:tc>
          <w:tcPr>
            <w:tcW w:w="1817" w:type="dxa"/>
            <w:gridSpan w:val="2"/>
            <w:tcBorders>
              <w:top w:val="single" w:sz="4" w:space="0" w:color="000000"/>
            </w:tcBorders>
            <w:shd w:color="000000" w:fill="FFFFFF" w:val="clear"/>
            <w:vAlign w:val="center"/>
          </w:tcPr>
          <w:p>
            <w:pPr>
              <w:pStyle w:val="Normal"/>
              <w:ind w:right="134" w:hanging="0"/>
              <w:jc w:val="center"/>
              <w:rPr>
                <w:rFonts w:ascii="Cambria" w:hAnsi="Cambria" w:eastAsia="Times New Roman"/>
                <w:sz w:val="18"/>
                <w:szCs w:val="20"/>
              </w:rPr>
            </w:pPr>
            <w:r>
              <w:rPr>
                <w:rFonts w:cs="Calibri" w:ascii="Cambria" w:hAnsi="Cambria"/>
                <w:color w:val="000000"/>
                <w:sz w:val="18"/>
                <w:szCs w:val="18"/>
              </w:rPr>
              <w:t xml:space="preserve">                      </w:t>
            </w:r>
            <w:r>
              <w:rPr>
                <w:rFonts w:cs="Calibri" w:ascii="Cambria" w:hAnsi="Cambria"/>
                <w:color w:val="000000"/>
                <w:sz w:val="18"/>
                <w:szCs w:val="18"/>
              </w:rPr>
              <w:t xml:space="preserve">11 124 </w:t>
            </w:r>
          </w:p>
        </w:tc>
      </w:tr>
      <w:tr>
        <w:trPr>
          <w:trHeight w:val="20" w:hRule="atLeast"/>
        </w:trPr>
        <w:tc>
          <w:tcPr>
            <w:tcW w:w="4179" w:type="dxa"/>
            <w:gridSpan w:val="2"/>
            <w:tcBorders/>
            <w:shd w:color="000000" w:fill="FFFFFF" w:val="clear"/>
            <w:vAlign w:val="center"/>
          </w:tcPr>
          <w:p>
            <w:pPr>
              <w:pStyle w:val="Normal"/>
              <w:spacing w:lineRule="auto" w:line="228"/>
              <w:ind w:right="134" w:hanging="0"/>
              <w:rPr>
                <w:rFonts w:ascii="Cambria" w:hAnsi="Cambria" w:eastAsia="Times New Roman"/>
                <w:sz w:val="18"/>
                <w:szCs w:val="20"/>
              </w:rPr>
            </w:pPr>
            <w:r>
              <w:rPr>
                <w:rFonts w:eastAsia="Times New Roman" w:ascii="Cambria" w:hAnsi="Cambria"/>
                <w:sz w:val="18"/>
                <w:szCs w:val="20"/>
              </w:rPr>
              <w:t>Расходы, не признаваемые для целей налогообложения прибыли</w:t>
            </w:r>
          </w:p>
        </w:tc>
        <w:tc>
          <w:tcPr>
            <w:tcW w:w="1954" w:type="dxa"/>
            <w:gridSpan w:val="2"/>
            <w:tcBorders/>
            <w:shd w:color="000000" w:fill="FFFFFF" w:val="clear"/>
            <w:vAlign w:val="center"/>
          </w:tcPr>
          <w:p>
            <w:pPr>
              <w:pStyle w:val="Normal"/>
              <w:ind w:right="109" w:hanging="0"/>
              <w:jc w:val="center"/>
              <w:rPr>
                <w:rFonts w:ascii="Cambria" w:hAnsi="Cambria" w:eastAsia="Times New Roman"/>
                <w:sz w:val="18"/>
                <w:szCs w:val="20"/>
              </w:rPr>
            </w:pPr>
            <w:r>
              <w:rPr>
                <w:rFonts w:cs="Calibri" w:ascii="Cambria" w:hAnsi="Cambria"/>
                <w:color w:val="000000"/>
                <w:sz w:val="18"/>
                <w:szCs w:val="18"/>
              </w:rPr>
              <w:t xml:space="preserve">                   </w:t>
            </w:r>
            <w:r>
              <w:rPr>
                <w:rFonts w:cs="Calibri" w:ascii="Cambria" w:hAnsi="Cambria"/>
                <w:color w:val="000000"/>
                <w:sz w:val="18"/>
                <w:szCs w:val="18"/>
              </w:rPr>
              <w:t>(9 160)</w:t>
            </w:r>
          </w:p>
        </w:tc>
        <w:tc>
          <w:tcPr>
            <w:tcW w:w="1817" w:type="dxa"/>
            <w:gridSpan w:val="2"/>
            <w:tcBorders/>
            <w:shd w:color="000000" w:fill="FFFFFF" w:val="clear"/>
            <w:vAlign w:val="center"/>
          </w:tcPr>
          <w:p>
            <w:pPr>
              <w:pStyle w:val="Normal"/>
              <w:ind w:right="134" w:hanging="0"/>
              <w:jc w:val="center"/>
              <w:rPr>
                <w:rFonts w:ascii="Cambria" w:hAnsi="Cambria" w:eastAsia="Times New Roman"/>
                <w:sz w:val="18"/>
                <w:szCs w:val="20"/>
              </w:rPr>
            </w:pPr>
            <w:r>
              <w:rPr>
                <w:rFonts w:cs="Calibri" w:ascii="Cambria" w:hAnsi="Cambria"/>
                <w:color w:val="000000"/>
                <w:sz w:val="18"/>
                <w:szCs w:val="18"/>
              </w:rPr>
              <w:t xml:space="preserve">                    </w:t>
            </w:r>
            <w:r>
              <w:rPr>
                <w:rFonts w:cs="Calibri" w:ascii="Cambria" w:hAnsi="Cambria"/>
                <w:color w:val="000000"/>
                <w:sz w:val="18"/>
                <w:szCs w:val="18"/>
              </w:rPr>
              <w:t>(17 938)</w:t>
            </w:r>
          </w:p>
        </w:tc>
      </w:tr>
      <w:tr>
        <w:trPr>
          <w:trHeight w:val="20" w:hRule="atLeast"/>
        </w:trPr>
        <w:tc>
          <w:tcPr>
            <w:tcW w:w="4179" w:type="dxa"/>
            <w:gridSpan w:val="2"/>
            <w:tcBorders/>
            <w:shd w:color="000000" w:fill="FFFFFF" w:val="clear"/>
            <w:vAlign w:val="center"/>
          </w:tcPr>
          <w:p>
            <w:pPr>
              <w:pStyle w:val="Normal"/>
              <w:spacing w:lineRule="auto" w:line="228"/>
              <w:ind w:right="134" w:hanging="0"/>
              <w:rPr>
                <w:rFonts w:ascii="Cambria" w:hAnsi="Cambria" w:eastAsia="Times New Roman"/>
                <w:bCs/>
                <w:sz w:val="18"/>
                <w:szCs w:val="20"/>
              </w:rPr>
            </w:pPr>
            <w:r>
              <w:rPr>
                <w:rFonts w:eastAsia="Times New Roman" w:ascii="Cambria" w:hAnsi="Cambria"/>
                <w:sz w:val="18"/>
                <w:szCs w:val="20"/>
              </w:rPr>
              <w:t>Расходы по налогу на прибыль</w:t>
            </w:r>
          </w:p>
        </w:tc>
        <w:tc>
          <w:tcPr>
            <w:tcW w:w="1954" w:type="dxa"/>
            <w:gridSpan w:val="2"/>
            <w:tcBorders>
              <w:top w:val="single" w:sz="4" w:space="0" w:color="000000"/>
              <w:bottom w:val="double" w:sz="6" w:space="0" w:color="000000"/>
              <w:insideH w:val="double" w:sz="6" w:space="0" w:color="000000"/>
            </w:tcBorders>
            <w:shd w:color="000000" w:fill="FFFFFF" w:val="clear"/>
            <w:vAlign w:val="center"/>
          </w:tcPr>
          <w:p>
            <w:pPr>
              <w:pStyle w:val="Normal"/>
              <w:ind w:right="109" w:hanging="0"/>
              <w:jc w:val="center"/>
              <w:rPr>
                <w:rFonts w:ascii="Cambria" w:hAnsi="Cambria" w:eastAsia="Times New Roman"/>
                <w:b/>
                <w:b/>
                <w:bCs/>
                <w:sz w:val="18"/>
                <w:szCs w:val="20"/>
              </w:rPr>
            </w:pPr>
            <w:r>
              <w:rPr>
                <w:rFonts w:cs="Calibri" w:ascii="Cambria" w:hAnsi="Cambria"/>
                <w:b/>
                <w:bCs/>
                <w:color w:val="000000"/>
                <w:sz w:val="18"/>
                <w:szCs w:val="18"/>
              </w:rPr>
              <w:t xml:space="preserve">                </w:t>
            </w:r>
            <w:r>
              <w:rPr>
                <w:rFonts w:cs="Calibri" w:ascii="Cambria" w:hAnsi="Cambria"/>
                <w:b/>
                <w:bCs/>
                <w:color w:val="000000"/>
                <w:sz w:val="18"/>
                <w:szCs w:val="18"/>
              </w:rPr>
              <w:t>(49 814)</w:t>
            </w:r>
          </w:p>
        </w:tc>
        <w:tc>
          <w:tcPr>
            <w:tcW w:w="1817" w:type="dxa"/>
            <w:gridSpan w:val="2"/>
            <w:tcBorders>
              <w:top w:val="single" w:sz="4" w:space="0" w:color="000000"/>
              <w:bottom w:val="double" w:sz="6" w:space="0" w:color="000000"/>
              <w:insideH w:val="double" w:sz="6" w:space="0" w:color="000000"/>
            </w:tcBorders>
            <w:shd w:color="000000" w:fill="FFFFFF" w:val="clear"/>
            <w:vAlign w:val="center"/>
          </w:tcPr>
          <w:p>
            <w:pPr>
              <w:pStyle w:val="Normal"/>
              <w:ind w:right="134" w:hanging="0"/>
              <w:jc w:val="center"/>
              <w:rPr>
                <w:rFonts w:ascii="Cambria" w:hAnsi="Cambria" w:eastAsia="Times New Roman"/>
                <w:b/>
                <w:b/>
                <w:bCs/>
                <w:sz w:val="18"/>
                <w:szCs w:val="20"/>
              </w:rPr>
            </w:pPr>
            <w:r>
              <w:rPr>
                <w:rFonts w:cs="Calibri" w:ascii="Cambria" w:hAnsi="Cambria"/>
                <w:b/>
                <w:bCs/>
                <w:color w:val="000000"/>
                <w:sz w:val="18"/>
                <w:szCs w:val="18"/>
              </w:rPr>
              <w:t xml:space="preserve">                      </w:t>
            </w:r>
            <w:r>
              <w:rPr>
                <w:rFonts w:cs="Calibri" w:ascii="Cambria" w:hAnsi="Cambria"/>
                <w:b/>
                <w:bCs/>
                <w:color w:val="000000"/>
                <w:sz w:val="18"/>
                <w:szCs w:val="18"/>
              </w:rPr>
              <w:t>(6 814)</w:t>
            </w:r>
          </w:p>
        </w:tc>
      </w:tr>
    </w:tbl>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Изменения в отложенных налоговых активах и обязательствах в течение периода показаны ниже.</w:t>
      </w:r>
    </w:p>
    <w:p>
      <w:pPr>
        <w:pStyle w:val="Normal"/>
        <w:spacing w:before="120" w:after="120"/>
        <w:ind w:right="134" w:hanging="0"/>
        <w:jc w:val="both"/>
        <w:rPr>
          <w:rFonts w:ascii="Cambria" w:hAnsi="Cambria" w:eastAsia="Times New Roman" w:cs="Arial"/>
          <w:b/>
          <w:b/>
          <w:sz w:val="20"/>
          <w:szCs w:val="20"/>
        </w:rPr>
      </w:pPr>
      <w:r>
        <w:rPr>
          <w:rFonts w:eastAsia="Times New Roman" w:cs="Arial" w:ascii="Cambria" w:hAnsi="Cambria"/>
          <w:b/>
          <w:sz w:val="20"/>
          <w:szCs w:val="20"/>
        </w:rPr>
        <w:t>Отложенные налоги</w:t>
      </w:r>
    </w:p>
    <w:tbl>
      <w:tblPr>
        <w:tblW w:w="4800" w:type="pct"/>
        <w:jc w:val="left"/>
        <w:tblInd w:w="-1" w:type="dxa"/>
        <w:tblBorders/>
        <w:tblCellMar>
          <w:top w:w="0" w:type="dxa"/>
          <w:left w:w="108" w:type="dxa"/>
          <w:bottom w:w="0" w:type="dxa"/>
          <w:right w:w="108" w:type="dxa"/>
        </w:tblCellMar>
        <w:tblLook w:firstRow="1" w:noVBand="1" w:lastRow="0" w:firstColumn="1" w:lastColumn="0" w:noHBand="0" w:val="04a0"/>
      </w:tblPr>
      <w:tblGrid>
        <w:gridCol w:w="4166"/>
        <w:gridCol w:w="1890"/>
        <w:gridCol w:w="1579"/>
        <w:gridCol w:w="1344"/>
      </w:tblGrid>
      <w:tr>
        <w:trPr>
          <w:trHeight w:val="293" w:hRule="atLeast"/>
        </w:trPr>
        <w:tc>
          <w:tcPr>
            <w:tcW w:w="4166" w:type="dxa"/>
            <w:vMerge w:val="restart"/>
            <w:tcBorders/>
            <w:shd w:fill="auto" w:val="clear"/>
            <w:vAlign w:val="center"/>
          </w:tcPr>
          <w:p>
            <w:pPr>
              <w:pStyle w:val="Normal"/>
              <w:ind w:right="134" w:hanging="0"/>
              <w:jc w:val="center"/>
              <w:rPr>
                <w:rFonts w:ascii="Cambria" w:hAnsi="Cambria" w:eastAsia="Times New Roman"/>
                <w:b/>
                <w:b/>
                <w:bCs/>
                <w:sz w:val="18"/>
                <w:szCs w:val="18"/>
              </w:rPr>
            </w:pPr>
            <w:r>
              <w:rPr>
                <w:rFonts w:eastAsia="Times New Roman" w:ascii="Cambria" w:hAnsi="Cambria"/>
                <w:b/>
                <w:bCs/>
                <w:sz w:val="18"/>
                <w:szCs w:val="18"/>
              </w:rPr>
            </w:r>
          </w:p>
        </w:tc>
        <w:tc>
          <w:tcPr>
            <w:tcW w:w="1890" w:type="dxa"/>
            <w:vMerge w:val="restart"/>
            <w:tcBorders>
              <w:bottom w:val="single" w:sz="8" w:space="0" w:color="000000"/>
              <w:insideH w:val="single" w:sz="8" w:space="0" w:color="000000"/>
            </w:tcBorders>
            <w:shd w:fill="auto" w:val="clear"/>
            <w:vAlign w:val="center"/>
          </w:tcPr>
          <w:p>
            <w:pPr>
              <w:pStyle w:val="Normal"/>
              <w:ind w:right="134" w:hanging="0"/>
              <w:jc w:val="center"/>
              <w:rPr>
                <w:rFonts w:ascii="Cambria" w:hAnsi="Cambria" w:eastAsia="Times New Roman"/>
                <w:b/>
                <w:b/>
                <w:bCs/>
                <w:sz w:val="18"/>
                <w:szCs w:val="18"/>
              </w:rPr>
            </w:pPr>
            <w:r>
              <w:rPr>
                <w:rFonts w:eastAsia="Times New Roman" w:ascii="Cambria" w:hAnsi="Cambria"/>
                <w:b/>
                <w:bCs/>
                <w:sz w:val="18"/>
                <w:szCs w:val="18"/>
              </w:rPr>
              <w:t>31 декабря 2018</w:t>
            </w:r>
          </w:p>
        </w:tc>
        <w:tc>
          <w:tcPr>
            <w:tcW w:w="1579" w:type="dxa"/>
            <w:vMerge w:val="restart"/>
            <w:tcBorders>
              <w:bottom w:val="single" w:sz="8" w:space="0" w:color="000000"/>
              <w:insideH w:val="single" w:sz="8" w:space="0" w:color="000000"/>
            </w:tcBorders>
            <w:shd w:fill="auto" w:val="clear"/>
            <w:vAlign w:val="center"/>
          </w:tcPr>
          <w:p>
            <w:pPr>
              <w:pStyle w:val="Normal"/>
              <w:ind w:right="134" w:hanging="0"/>
              <w:jc w:val="center"/>
              <w:rPr>
                <w:rFonts w:ascii="Cambria" w:hAnsi="Cambria" w:eastAsia="Times New Roman"/>
                <w:b/>
                <w:b/>
                <w:bCs/>
                <w:sz w:val="18"/>
                <w:szCs w:val="18"/>
              </w:rPr>
            </w:pPr>
            <w:r>
              <w:rPr>
                <w:rFonts w:eastAsia="Times New Roman" w:ascii="Cambria" w:hAnsi="Cambria"/>
                <w:b/>
                <w:bCs/>
                <w:sz w:val="18"/>
                <w:szCs w:val="18"/>
              </w:rPr>
              <w:t>Признанные в прибыли и убытках</w:t>
            </w:r>
          </w:p>
        </w:tc>
        <w:tc>
          <w:tcPr>
            <w:tcW w:w="1344" w:type="dxa"/>
            <w:vMerge w:val="restart"/>
            <w:tcBorders>
              <w:bottom w:val="single" w:sz="8" w:space="0" w:color="000000"/>
              <w:insideH w:val="single" w:sz="8" w:space="0" w:color="000000"/>
            </w:tcBorders>
            <w:shd w:fill="auto" w:val="clear"/>
            <w:vAlign w:val="center"/>
          </w:tcPr>
          <w:p>
            <w:pPr>
              <w:pStyle w:val="Normal"/>
              <w:ind w:right="134" w:hanging="0"/>
              <w:jc w:val="center"/>
              <w:rPr>
                <w:rFonts w:ascii="Cambria" w:hAnsi="Cambria" w:eastAsia="Times New Roman"/>
                <w:b/>
                <w:b/>
                <w:bCs/>
                <w:sz w:val="18"/>
                <w:szCs w:val="18"/>
              </w:rPr>
            </w:pPr>
            <w:r>
              <w:rPr>
                <w:rFonts w:eastAsia="Times New Roman" w:ascii="Cambria" w:hAnsi="Cambria"/>
                <w:b/>
                <w:bCs/>
                <w:sz w:val="18"/>
                <w:szCs w:val="18"/>
              </w:rPr>
              <w:t>31 декабря 2017 года</w:t>
            </w:r>
          </w:p>
        </w:tc>
      </w:tr>
      <w:tr>
        <w:trPr>
          <w:trHeight w:val="293" w:hRule="atLeast"/>
        </w:trPr>
        <w:tc>
          <w:tcPr>
            <w:tcW w:w="4166" w:type="dxa"/>
            <w:vMerge w:val="continue"/>
            <w:tcBorders/>
            <w:shd w:fill="auto" w:val="clear"/>
            <w:vAlign w:val="center"/>
          </w:tcPr>
          <w:p>
            <w:pPr>
              <w:pStyle w:val="Normal"/>
              <w:ind w:right="134" w:hanging="0"/>
              <w:jc w:val="both"/>
              <w:rPr>
                <w:rFonts w:ascii="Cambria" w:hAnsi="Cambria" w:eastAsia="Times New Roman"/>
                <w:b/>
                <w:b/>
                <w:bCs/>
                <w:sz w:val="18"/>
                <w:szCs w:val="18"/>
              </w:rPr>
            </w:pPr>
            <w:r>
              <w:rPr>
                <w:rFonts w:eastAsia="Times New Roman" w:ascii="Cambria" w:hAnsi="Cambria"/>
                <w:b/>
                <w:bCs/>
                <w:sz w:val="18"/>
                <w:szCs w:val="18"/>
              </w:rPr>
            </w:r>
          </w:p>
        </w:tc>
        <w:tc>
          <w:tcPr>
            <w:tcW w:w="1890" w:type="dxa"/>
            <w:vMerge w:val="continue"/>
            <w:tcBorders>
              <w:bottom w:val="single" w:sz="8" w:space="0" w:color="000000"/>
              <w:insideH w:val="single" w:sz="8" w:space="0" w:color="000000"/>
            </w:tcBorders>
            <w:shd w:fill="auto" w:val="clear"/>
            <w:vAlign w:val="center"/>
          </w:tcPr>
          <w:p>
            <w:pPr>
              <w:pStyle w:val="Normal"/>
              <w:ind w:right="134" w:hanging="0"/>
              <w:jc w:val="both"/>
              <w:rPr>
                <w:rFonts w:ascii="Cambria" w:hAnsi="Cambria" w:eastAsia="Times New Roman"/>
                <w:b/>
                <w:b/>
                <w:bCs/>
                <w:sz w:val="18"/>
                <w:szCs w:val="18"/>
              </w:rPr>
            </w:pPr>
            <w:r>
              <w:rPr>
                <w:rFonts w:eastAsia="Times New Roman" w:ascii="Cambria" w:hAnsi="Cambria"/>
                <w:b/>
                <w:bCs/>
                <w:sz w:val="18"/>
                <w:szCs w:val="18"/>
              </w:rPr>
            </w:r>
          </w:p>
        </w:tc>
        <w:tc>
          <w:tcPr>
            <w:tcW w:w="1579" w:type="dxa"/>
            <w:vMerge w:val="continue"/>
            <w:tcBorders>
              <w:bottom w:val="single" w:sz="8" w:space="0" w:color="000000"/>
              <w:insideH w:val="single" w:sz="8" w:space="0" w:color="000000"/>
            </w:tcBorders>
            <w:shd w:fill="auto" w:val="clear"/>
            <w:vAlign w:val="center"/>
          </w:tcPr>
          <w:p>
            <w:pPr>
              <w:pStyle w:val="Normal"/>
              <w:ind w:right="134" w:hanging="0"/>
              <w:jc w:val="both"/>
              <w:rPr>
                <w:rFonts w:ascii="Cambria" w:hAnsi="Cambria" w:eastAsia="Times New Roman"/>
                <w:b/>
                <w:b/>
                <w:bCs/>
                <w:sz w:val="18"/>
                <w:szCs w:val="18"/>
              </w:rPr>
            </w:pPr>
            <w:r>
              <w:rPr>
                <w:rFonts w:eastAsia="Times New Roman" w:ascii="Cambria" w:hAnsi="Cambria"/>
                <w:b/>
                <w:bCs/>
                <w:sz w:val="18"/>
                <w:szCs w:val="18"/>
              </w:rPr>
            </w:r>
          </w:p>
        </w:tc>
        <w:tc>
          <w:tcPr>
            <w:tcW w:w="1344" w:type="dxa"/>
            <w:vMerge w:val="continue"/>
            <w:tcBorders>
              <w:bottom w:val="single" w:sz="8" w:space="0" w:color="000000"/>
              <w:insideH w:val="single" w:sz="8" w:space="0" w:color="000000"/>
            </w:tcBorders>
            <w:shd w:fill="auto" w:val="clear"/>
            <w:vAlign w:val="center"/>
          </w:tcPr>
          <w:p>
            <w:pPr>
              <w:pStyle w:val="Normal"/>
              <w:ind w:right="134" w:hanging="0"/>
              <w:jc w:val="both"/>
              <w:rPr>
                <w:rFonts w:ascii="Cambria" w:hAnsi="Cambria" w:eastAsia="Times New Roman"/>
                <w:b/>
                <w:b/>
                <w:bCs/>
                <w:sz w:val="18"/>
                <w:szCs w:val="18"/>
              </w:rPr>
            </w:pPr>
            <w:r>
              <w:rPr>
                <w:rFonts w:eastAsia="Times New Roman" w:ascii="Cambria" w:hAnsi="Cambria"/>
                <w:b/>
                <w:bCs/>
                <w:sz w:val="18"/>
                <w:szCs w:val="18"/>
              </w:rPr>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Основные средства</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(620 313)</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62 852</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(683 166)</w:t>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Нематериальные активы</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(202)</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46</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(248)</w:t>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Финансовые активы</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(73 437)</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(1 080)</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(72 357)</w:t>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Запасы</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(26 581)</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(7 977)</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(18 604)</w:t>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Дебиторская и прочая задолженность</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2 322</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451</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1 871</w:t>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Прочие  активы</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1 853</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(168)</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2 021</w:t>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Кредиторская и прочая задолженность</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13</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(1 633)</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1 645</w:t>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Оценочные обязательства</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656</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656</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w:t>
            </w:r>
          </w:p>
        </w:tc>
      </w:tr>
      <w:tr>
        <w:trPr>
          <w:trHeight w:val="20" w:hRule="atLeast"/>
        </w:trPr>
        <w:tc>
          <w:tcPr>
            <w:tcW w:w="4166" w:type="dxa"/>
            <w:tcBorders/>
            <w:shd w:fill="auto" w:val="clear"/>
          </w:tcPr>
          <w:p>
            <w:pPr>
              <w:pStyle w:val="Normal"/>
              <w:ind w:right="134" w:hanging="0"/>
              <w:rPr>
                <w:rFonts w:ascii="Cambria" w:hAnsi="Cambria" w:eastAsia="Times New Roman"/>
                <w:sz w:val="18"/>
                <w:szCs w:val="18"/>
              </w:rPr>
            </w:pPr>
            <w:r>
              <w:rPr>
                <w:rFonts w:eastAsia="Times New Roman" w:ascii="Cambria" w:hAnsi="Cambria"/>
                <w:sz w:val="18"/>
                <w:szCs w:val="18"/>
              </w:rPr>
              <w:t>Налоговый убыток</w:t>
            </w:r>
          </w:p>
        </w:tc>
        <w:tc>
          <w:tcPr>
            <w:tcW w:w="1890"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2 149</w:t>
            </w:r>
          </w:p>
        </w:tc>
        <w:tc>
          <w:tcPr>
            <w:tcW w:w="1579"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2 149</w:t>
            </w:r>
          </w:p>
        </w:tc>
        <w:tc>
          <w:tcPr>
            <w:tcW w:w="134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w:t>
            </w:r>
          </w:p>
        </w:tc>
      </w:tr>
      <w:tr>
        <w:trPr>
          <w:trHeight w:val="20" w:hRule="atLeast"/>
        </w:trPr>
        <w:tc>
          <w:tcPr>
            <w:tcW w:w="4166" w:type="dxa"/>
            <w:tcBorders/>
            <w:shd w:fill="auto" w:val="clear"/>
            <w:vAlign w:val="center"/>
          </w:tcPr>
          <w:p>
            <w:pPr>
              <w:pStyle w:val="Normal"/>
              <w:spacing w:lineRule="auto" w:line="228"/>
              <w:ind w:right="134" w:hanging="0"/>
              <w:rPr>
                <w:rFonts w:ascii="Cambria" w:hAnsi="Cambria" w:eastAsia="Times New Roman"/>
                <w:b/>
                <w:b/>
                <w:sz w:val="18"/>
                <w:szCs w:val="18"/>
              </w:rPr>
            </w:pPr>
            <w:r>
              <w:rPr>
                <w:rFonts w:eastAsia="Times New Roman" w:ascii="Cambria" w:hAnsi="Cambria"/>
                <w:b/>
                <w:sz w:val="18"/>
                <w:szCs w:val="18"/>
              </w:rPr>
              <w:t>Итого отложенных налоговых обязательств</w:t>
            </w:r>
          </w:p>
        </w:tc>
        <w:tc>
          <w:tcPr>
            <w:tcW w:w="1890" w:type="dxa"/>
            <w:tcBorders>
              <w:top w:val="single" w:sz="8" w:space="0" w:color="000000"/>
              <w:bottom w:val="double" w:sz="6" w:space="0" w:color="000000"/>
              <w:insideH w:val="double" w:sz="6" w:space="0" w:color="000000"/>
            </w:tcBorders>
            <w:shd w:fill="auto" w:val="clear"/>
            <w:vAlign w:val="bottom"/>
          </w:tcPr>
          <w:p>
            <w:pPr>
              <w:pStyle w:val="Normal"/>
              <w:spacing w:lineRule="auto" w:line="228"/>
              <w:ind w:right="134" w:hanging="0"/>
              <w:jc w:val="right"/>
              <w:rPr>
                <w:rFonts w:ascii="Cambria" w:hAnsi="Cambria" w:eastAsia="Times New Roman"/>
                <w:b/>
                <w:b/>
                <w:sz w:val="18"/>
                <w:szCs w:val="18"/>
                <w:lang w:val="en-US"/>
              </w:rPr>
            </w:pPr>
            <w:r>
              <w:rPr>
                <w:rFonts w:cs="Arial" w:ascii="Cambria" w:hAnsi="Cambria"/>
                <w:b/>
                <w:bCs/>
                <w:sz w:val="18"/>
                <w:szCs w:val="18"/>
              </w:rPr>
              <w:t>(713 541)</w:t>
            </w:r>
          </w:p>
        </w:tc>
        <w:tc>
          <w:tcPr>
            <w:tcW w:w="1579" w:type="dxa"/>
            <w:tcBorders>
              <w:top w:val="single" w:sz="8" w:space="0" w:color="000000"/>
              <w:bottom w:val="double" w:sz="6" w:space="0" w:color="000000"/>
              <w:insideH w:val="double" w:sz="6" w:space="0" w:color="000000"/>
            </w:tcBorders>
            <w:shd w:fill="auto" w:val="clear"/>
            <w:vAlign w:val="bottom"/>
          </w:tcPr>
          <w:p>
            <w:pPr>
              <w:pStyle w:val="Normal"/>
              <w:spacing w:lineRule="auto" w:line="228"/>
              <w:ind w:right="134" w:hanging="0"/>
              <w:jc w:val="right"/>
              <w:rPr>
                <w:rFonts w:ascii="Cambria" w:hAnsi="Cambria" w:eastAsia="Times New Roman"/>
                <w:b/>
                <w:b/>
                <w:sz w:val="18"/>
                <w:szCs w:val="18"/>
                <w:lang w:val="en-US"/>
              </w:rPr>
            </w:pPr>
            <w:r>
              <w:rPr>
                <w:rFonts w:cs="Arial" w:ascii="Cambria" w:hAnsi="Cambria"/>
                <w:b/>
                <w:bCs/>
                <w:sz w:val="18"/>
                <w:szCs w:val="18"/>
              </w:rPr>
              <w:t>55 297</w:t>
            </w:r>
          </w:p>
        </w:tc>
        <w:tc>
          <w:tcPr>
            <w:tcW w:w="1344" w:type="dxa"/>
            <w:tcBorders>
              <w:top w:val="single" w:sz="8" w:space="0" w:color="000000"/>
              <w:bottom w:val="double" w:sz="6" w:space="0" w:color="000000"/>
              <w:insideH w:val="double" w:sz="6" w:space="0" w:color="000000"/>
            </w:tcBorders>
            <w:shd w:fill="auto" w:val="clear"/>
            <w:vAlign w:val="bottom"/>
          </w:tcPr>
          <w:p>
            <w:pPr>
              <w:pStyle w:val="Normal"/>
              <w:jc w:val="right"/>
              <w:rPr>
                <w:rFonts w:ascii="Cambria" w:hAnsi="Cambria" w:eastAsia="Times New Roman" w:cs="Arial"/>
                <w:b/>
                <w:b/>
                <w:sz w:val="18"/>
                <w:szCs w:val="18"/>
                <w:lang w:val="en-US"/>
              </w:rPr>
            </w:pPr>
            <w:r>
              <w:rPr>
                <w:rFonts w:cs="Arial" w:ascii="Cambria" w:hAnsi="Cambria"/>
                <w:b/>
                <w:bCs/>
                <w:sz w:val="18"/>
                <w:szCs w:val="18"/>
              </w:rPr>
              <w:t>(768 838)</w:t>
            </w:r>
          </w:p>
        </w:tc>
      </w:tr>
    </w:tbl>
    <w:p>
      <w:pPr>
        <w:pStyle w:val="Normal"/>
        <w:spacing w:lineRule="auto" w:line="228"/>
        <w:ind w:right="134" w:hanging="0"/>
        <w:jc w:val="both"/>
        <w:rPr>
          <w:rFonts w:ascii="Cambria" w:hAnsi="Cambria" w:eastAsia="Times New Roman"/>
          <w:b/>
          <w:b/>
          <w:sz w:val="20"/>
          <w:szCs w:val="20"/>
        </w:rPr>
      </w:pPr>
      <w:r>
        <w:rPr>
          <w:rFonts w:eastAsia="Times New Roman" w:ascii="Cambria" w:hAnsi="Cambria"/>
          <w:b/>
          <w:sz w:val="20"/>
          <w:szCs w:val="20"/>
        </w:rPr>
      </w:r>
    </w:p>
    <w:tbl>
      <w:tblPr>
        <w:tblW w:w="4800" w:type="pct"/>
        <w:jc w:val="left"/>
        <w:tblInd w:w="-1" w:type="dxa"/>
        <w:tblBorders/>
        <w:tblCellMar>
          <w:top w:w="0" w:type="dxa"/>
          <w:left w:w="108" w:type="dxa"/>
          <w:bottom w:w="0" w:type="dxa"/>
          <w:right w:w="108" w:type="dxa"/>
        </w:tblCellMar>
        <w:tblLook w:firstRow="1" w:noVBand="1" w:lastRow="0" w:firstColumn="1" w:lastColumn="0" w:noHBand="0" w:val="04a0"/>
      </w:tblPr>
      <w:tblGrid>
        <w:gridCol w:w="4163"/>
        <w:gridCol w:w="1824"/>
        <w:gridCol w:w="1694"/>
        <w:gridCol w:w="1298"/>
      </w:tblGrid>
      <w:tr>
        <w:trPr>
          <w:tblHeader w:val="true"/>
          <w:trHeight w:val="293" w:hRule="atLeast"/>
        </w:trPr>
        <w:tc>
          <w:tcPr>
            <w:tcW w:w="4163" w:type="dxa"/>
            <w:vMerge w:val="restart"/>
            <w:tcBorders/>
            <w:shd w:fill="auto" w:val="clear"/>
            <w:vAlign w:val="center"/>
          </w:tcPr>
          <w:p>
            <w:pPr>
              <w:pStyle w:val="Normal"/>
              <w:ind w:right="134" w:hanging="0"/>
              <w:jc w:val="center"/>
              <w:rPr>
                <w:rFonts w:ascii="Cambria" w:hAnsi="Cambria" w:eastAsia="Times New Roman"/>
                <w:b/>
                <w:b/>
                <w:bCs/>
                <w:sz w:val="18"/>
                <w:szCs w:val="18"/>
              </w:rPr>
            </w:pPr>
            <w:r>
              <w:rPr>
                <w:rFonts w:eastAsia="Times New Roman" w:ascii="Cambria" w:hAnsi="Cambria"/>
                <w:b/>
                <w:bCs/>
                <w:sz w:val="18"/>
                <w:szCs w:val="18"/>
              </w:rPr>
            </w:r>
          </w:p>
        </w:tc>
        <w:tc>
          <w:tcPr>
            <w:tcW w:w="1824" w:type="dxa"/>
            <w:vMerge w:val="restart"/>
            <w:tcBorders/>
            <w:shd w:fill="auto" w:val="clear"/>
            <w:vAlign w:val="center"/>
          </w:tcPr>
          <w:p>
            <w:pPr>
              <w:pStyle w:val="Normal"/>
              <w:ind w:right="134" w:hanging="0"/>
              <w:jc w:val="center"/>
              <w:rPr>
                <w:rFonts w:ascii="Cambria" w:hAnsi="Cambria" w:eastAsia="Times New Roman"/>
                <w:b/>
                <w:b/>
                <w:bCs/>
                <w:sz w:val="18"/>
                <w:szCs w:val="18"/>
              </w:rPr>
            </w:pPr>
            <w:r>
              <w:rPr>
                <w:rFonts w:eastAsia="Times New Roman" w:ascii="Cambria" w:hAnsi="Cambria"/>
                <w:b/>
                <w:bCs/>
                <w:sz w:val="18"/>
                <w:szCs w:val="18"/>
              </w:rPr>
              <w:t>31 декабря 2017</w:t>
            </w:r>
          </w:p>
        </w:tc>
        <w:tc>
          <w:tcPr>
            <w:tcW w:w="1694" w:type="dxa"/>
            <w:vMerge w:val="restart"/>
            <w:tcBorders/>
            <w:shd w:fill="auto" w:val="clear"/>
            <w:vAlign w:val="center"/>
          </w:tcPr>
          <w:p>
            <w:pPr>
              <w:pStyle w:val="Normal"/>
              <w:ind w:right="134" w:hanging="0"/>
              <w:jc w:val="center"/>
              <w:rPr>
                <w:rFonts w:ascii="Cambria" w:hAnsi="Cambria" w:eastAsia="Times New Roman"/>
                <w:b/>
                <w:b/>
                <w:bCs/>
                <w:sz w:val="18"/>
                <w:szCs w:val="18"/>
              </w:rPr>
            </w:pPr>
            <w:r>
              <w:rPr>
                <w:rFonts w:eastAsia="Times New Roman" w:ascii="Cambria" w:hAnsi="Cambria"/>
                <w:b/>
                <w:bCs/>
                <w:sz w:val="18"/>
                <w:szCs w:val="18"/>
              </w:rPr>
              <w:t>Признанные в прибыли и убытках</w:t>
            </w:r>
          </w:p>
        </w:tc>
        <w:tc>
          <w:tcPr>
            <w:tcW w:w="1298" w:type="dxa"/>
            <w:vMerge w:val="restart"/>
            <w:tcBorders/>
            <w:shd w:fill="auto" w:val="clear"/>
            <w:vAlign w:val="center"/>
          </w:tcPr>
          <w:p>
            <w:pPr>
              <w:pStyle w:val="Normal"/>
              <w:ind w:right="134" w:hanging="0"/>
              <w:jc w:val="center"/>
              <w:rPr>
                <w:rFonts w:ascii="Cambria" w:hAnsi="Cambria" w:eastAsia="Times New Roman"/>
                <w:b/>
                <w:b/>
                <w:bCs/>
                <w:sz w:val="18"/>
                <w:szCs w:val="18"/>
              </w:rPr>
            </w:pPr>
            <w:r>
              <w:rPr>
                <w:rFonts w:eastAsia="Times New Roman" w:ascii="Cambria" w:hAnsi="Cambria"/>
                <w:b/>
                <w:bCs/>
                <w:sz w:val="18"/>
                <w:szCs w:val="18"/>
              </w:rPr>
              <w:t>1 Января 2017 года</w:t>
            </w:r>
          </w:p>
        </w:tc>
      </w:tr>
      <w:tr>
        <w:trPr>
          <w:tblHeader w:val="true"/>
          <w:trHeight w:val="293" w:hRule="atLeast"/>
        </w:trPr>
        <w:tc>
          <w:tcPr>
            <w:tcW w:w="4163" w:type="dxa"/>
            <w:vMerge w:val="continue"/>
            <w:tcBorders/>
            <w:shd w:fill="auto" w:val="clear"/>
            <w:vAlign w:val="center"/>
          </w:tcPr>
          <w:p>
            <w:pPr>
              <w:pStyle w:val="Normal"/>
              <w:ind w:right="134" w:hanging="0"/>
              <w:jc w:val="both"/>
              <w:rPr>
                <w:rFonts w:ascii="Cambria" w:hAnsi="Cambria" w:eastAsia="Times New Roman"/>
                <w:b/>
                <w:b/>
                <w:bCs/>
                <w:sz w:val="18"/>
                <w:szCs w:val="18"/>
                <w:lang w:val="en-US"/>
              </w:rPr>
            </w:pPr>
            <w:r>
              <w:rPr>
                <w:rFonts w:eastAsia="Times New Roman" w:ascii="Cambria" w:hAnsi="Cambria"/>
                <w:b/>
                <w:bCs/>
                <w:sz w:val="18"/>
                <w:szCs w:val="18"/>
                <w:lang w:val="en-US"/>
              </w:rPr>
            </w:r>
          </w:p>
        </w:tc>
        <w:tc>
          <w:tcPr>
            <w:tcW w:w="1824" w:type="dxa"/>
            <w:vMerge w:val="continue"/>
            <w:tcBorders/>
            <w:shd w:fill="auto" w:val="clear"/>
            <w:vAlign w:val="center"/>
          </w:tcPr>
          <w:p>
            <w:pPr>
              <w:pStyle w:val="Normal"/>
              <w:ind w:right="134" w:hanging="0"/>
              <w:jc w:val="both"/>
              <w:rPr>
                <w:rFonts w:ascii="Cambria" w:hAnsi="Cambria" w:eastAsia="Times New Roman"/>
                <w:b/>
                <w:b/>
                <w:bCs/>
                <w:sz w:val="18"/>
                <w:szCs w:val="18"/>
                <w:lang w:val="en-US"/>
              </w:rPr>
            </w:pPr>
            <w:r>
              <w:rPr>
                <w:rFonts w:eastAsia="Times New Roman" w:ascii="Cambria" w:hAnsi="Cambria"/>
                <w:b/>
                <w:bCs/>
                <w:sz w:val="18"/>
                <w:szCs w:val="18"/>
                <w:lang w:val="en-US"/>
              </w:rPr>
            </w:r>
          </w:p>
        </w:tc>
        <w:tc>
          <w:tcPr>
            <w:tcW w:w="1694" w:type="dxa"/>
            <w:vMerge w:val="continue"/>
            <w:tcBorders/>
            <w:shd w:fill="auto" w:val="clear"/>
            <w:vAlign w:val="center"/>
          </w:tcPr>
          <w:p>
            <w:pPr>
              <w:pStyle w:val="Normal"/>
              <w:ind w:right="134" w:hanging="0"/>
              <w:jc w:val="both"/>
              <w:rPr>
                <w:rFonts w:ascii="Cambria" w:hAnsi="Cambria" w:eastAsia="Times New Roman"/>
                <w:b/>
                <w:b/>
                <w:bCs/>
                <w:sz w:val="18"/>
                <w:szCs w:val="18"/>
                <w:lang w:val="en-US"/>
              </w:rPr>
            </w:pPr>
            <w:r>
              <w:rPr>
                <w:rFonts w:eastAsia="Times New Roman" w:ascii="Cambria" w:hAnsi="Cambria"/>
                <w:b/>
                <w:bCs/>
                <w:sz w:val="18"/>
                <w:szCs w:val="18"/>
                <w:lang w:val="en-US"/>
              </w:rPr>
            </w:r>
          </w:p>
        </w:tc>
        <w:tc>
          <w:tcPr>
            <w:tcW w:w="1298" w:type="dxa"/>
            <w:vMerge w:val="continue"/>
            <w:tcBorders/>
            <w:shd w:fill="auto" w:val="clear"/>
            <w:vAlign w:val="center"/>
          </w:tcPr>
          <w:p>
            <w:pPr>
              <w:pStyle w:val="Normal"/>
              <w:ind w:right="134" w:hanging="0"/>
              <w:jc w:val="both"/>
              <w:rPr>
                <w:rFonts w:ascii="Cambria" w:hAnsi="Cambria" w:eastAsia="Times New Roman"/>
                <w:b/>
                <w:b/>
                <w:bCs/>
                <w:sz w:val="18"/>
                <w:szCs w:val="18"/>
                <w:lang w:val="en-US"/>
              </w:rPr>
            </w:pPr>
            <w:r>
              <w:rPr>
                <w:rFonts w:eastAsia="Times New Roman" w:ascii="Cambria" w:hAnsi="Cambria"/>
                <w:b/>
                <w:bCs/>
                <w:sz w:val="18"/>
                <w:szCs w:val="18"/>
                <w:lang w:val="en-US"/>
              </w:rPr>
            </w:r>
          </w:p>
        </w:tc>
      </w:tr>
      <w:tr>
        <w:trPr>
          <w:trHeight w:val="20" w:hRule="atLeast"/>
        </w:trPr>
        <w:tc>
          <w:tcPr>
            <w:tcW w:w="4163" w:type="dxa"/>
            <w:tcBorders/>
            <w:shd w:fill="auto" w:val="clear"/>
            <w:vAlign w:val="center"/>
          </w:tcPr>
          <w:p>
            <w:pPr>
              <w:pStyle w:val="Normal"/>
              <w:ind w:right="134" w:hanging="0"/>
              <w:rPr>
                <w:rFonts w:ascii="Cambria" w:hAnsi="Cambria" w:eastAsia="Times New Roman"/>
                <w:sz w:val="18"/>
                <w:szCs w:val="18"/>
              </w:rPr>
            </w:pPr>
            <w:r>
              <w:rPr>
                <w:rFonts w:eastAsia="Times New Roman" w:ascii="Cambria" w:hAnsi="Cambria"/>
                <w:sz w:val="18"/>
                <w:szCs w:val="18"/>
              </w:rPr>
              <w:t>Основные средства</w:t>
            </w:r>
          </w:p>
        </w:tc>
        <w:tc>
          <w:tcPr>
            <w:tcW w:w="1824" w:type="dxa"/>
            <w:tcBorders/>
            <w:shd w:fill="auto" w:val="clear"/>
            <w:vAlign w:val="bottom"/>
          </w:tcPr>
          <w:p>
            <w:pPr>
              <w:pStyle w:val="Normal"/>
              <w:jc w:val="right"/>
              <w:rPr>
                <w:rFonts w:ascii="Cambria" w:hAnsi="Cambria" w:cs="Arial"/>
                <w:sz w:val="18"/>
                <w:szCs w:val="18"/>
              </w:rPr>
            </w:pPr>
            <w:r>
              <w:rPr>
                <w:rFonts w:cs="Arial" w:ascii="Cambria" w:hAnsi="Cambria"/>
                <w:sz w:val="18"/>
                <w:szCs w:val="18"/>
              </w:rPr>
              <w:t>(683 166)</w:t>
            </w:r>
          </w:p>
        </w:tc>
        <w:tc>
          <w:tcPr>
            <w:tcW w:w="1694" w:type="dxa"/>
            <w:tcBorders/>
            <w:shd w:fill="auto" w:val="clear"/>
            <w:vAlign w:val="bottom"/>
          </w:tcPr>
          <w:p>
            <w:pPr>
              <w:pStyle w:val="Normal"/>
              <w:jc w:val="right"/>
              <w:rPr>
                <w:rFonts w:ascii="Cambria" w:hAnsi="Cambria" w:cs="Arial"/>
                <w:sz w:val="18"/>
                <w:szCs w:val="18"/>
              </w:rPr>
            </w:pPr>
            <w:r>
              <w:rPr>
                <w:rFonts w:cs="Arial" w:ascii="Cambria" w:hAnsi="Cambria"/>
                <w:sz w:val="18"/>
                <w:szCs w:val="18"/>
              </w:rPr>
              <w:t>61 175</w:t>
            </w:r>
          </w:p>
        </w:tc>
        <w:tc>
          <w:tcPr>
            <w:tcW w:w="1298" w:type="dxa"/>
            <w:tcBorders/>
            <w:shd w:fill="auto" w:val="clear"/>
            <w:vAlign w:val="bottom"/>
          </w:tcPr>
          <w:p>
            <w:pPr>
              <w:pStyle w:val="Normal"/>
              <w:jc w:val="right"/>
              <w:rPr>
                <w:rFonts w:ascii="Cambria" w:hAnsi="Cambria" w:cs="Arial"/>
                <w:sz w:val="18"/>
                <w:szCs w:val="18"/>
              </w:rPr>
            </w:pPr>
            <w:r>
              <w:rPr>
                <w:rFonts w:cs="Arial" w:ascii="Cambria" w:hAnsi="Cambria"/>
                <w:sz w:val="18"/>
                <w:szCs w:val="18"/>
              </w:rPr>
              <w:t>(744 340)</w:t>
            </w:r>
          </w:p>
        </w:tc>
      </w:tr>
      <w:tr>
        <w:trPr>
          <w:trHeight w:val="20" w:hRule="atLeast"/>
        </w:trPr>
        <w:tc>
          <w:tcPr>
            <w:tcW w:w="4163" w:type="dxa"/>
            <w:tcBorders/>
            <w:shd w:fill="auto" w:val="clear"/>
            <w:vAlign w:val="center"/>
          </w:tcPr>
          <w:p>
            <w:pPr>
              <w:pStyle w:val="Normal"/>
              <w:ind w:right="134" w:hanging="0"/>
              <w:rPr>
                <w:rFonts w:ascii="Cambria" w:hAnsi="Cambria" w:eastAsia="Times New Roman"/>
                <w:sz w:val="18"/>
                <w:szCs w:val="18"/>
              </w:rPr>
            </w:pPr>
            <w:r>
              <w:rPr>
                <w:rFonts w:eastAsia="Times New Roman" w:ascii="Cambria" w:hAnsi="Cambria"/>
                <w:sz w:val="18"/>
                <w:szCs w:val="18"/>
              </w:rPr>
              <w:t>Нематериальные активы</w:t>
            </w:r>
          </w:p>
        </w:tc>
        <w:tc>
          <w:tcPr>
            <w:tcW w:w="182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(248)</w:t>
            </w:r>
          </w:p>
        </w:tc>
        <w:tc>
          <w:tcPr>
            <w:tcW w:w="169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(103)</w:t>
            </w:r>
          </w:p>
        </w:tc>
        <w:tc>
          <w:tcPr>
            <w:tcW w:w="1298"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(145)</w:t>
            </w:r>
          </w:p>
        </w:tc>
      </w:tr>
      <w:tr>
        <w:trPr>
          <w:trHeight w:val="20" w:hRule="atLeast"/>
        </w:trPr>
        <w:tc>
          <w:tcPr>
            <w:tcW w:w="4163" w:type="dxa"/>
            <w:tcBorders/>
            <w:shd w:fill="auto" w:val="clear"/>
            <w:vAlign w:val="center"/>
          </w:tcPr>
          <w:p>
            <w:pPr>
              <w:pStyle w:val="Normal"/>
              <w:ind w:right="134" w:hanging="0"/>
              <w:rPr>
                <w:rFonts w:ascii="Cambria" w:hAnsi="Cambria" w:eastAsia="Times New Roman"/>
                <w:sz w:val="18"/>
                <w:szCs w:val="18"/>
              </w:rPr>
            </w:pPr>
            <w:r>
              <w:rPr>
                <w:rFonts w:eastAsia="Times New Roman" w:ascii="Cambria" w:hAnsi="Cambria"/>
                <w:sz w:val="18"/>
                <w:szCs w:val="18"/>
              </w:rPr>
              <w:t>Финансовые активы</w:t>
            </w:r>
          </w:p>
        </w:tc>
        <w:tc>
          <w:tcPr>
            <w:tcW w:w="182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(72 357)</w:t>
            </w:r>
          </w:p>
        </w:tc>
        <w:tc>
          <w:tcPr>
            <w:tcW w:w="169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(405)</w:t>
            </w:r>
          </w:p>
        </w:tc>
        <w:tc>
          <w:tcPr>
            <w:tcW w:w="1298"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(71 952)</w:t>
            </w:r>
          </w:p>
        </w:tc>
      </w:tr>
      <w:tr>
        <w:trPr>
          <w:trHeight w:val="20" w:hRule="atLeast"/>
        </w:trPr>
        <w:tc>
          <w:tcPr>
            <w:tcW w:w="4163" w:type="dxa"/>
            <w:tcBorders/>
            <w:shd w:fill="auto" w:val="clear"/>
            <w:vAlign w:val="center"/>
          </w:tcPr>
          <w:p>
            <w:pPr>
              <w:pStyle w:val="Normal"/>
              <w:ind w:right="134" w:hanging="0"/>
              <w:rPr>
                <w:rFonts w:ascii="Cambria" w:hAnsi="Cambria" w:eastAsia="Times New Roman"/>
                <w:sz w:val="18"/>
                <w:szCs w:val="18"/>
              </w:rPr>
            </w:pPr>
            <w:r>
              <w:rPr>
                <w:rFonts w:eastAsia="Times New Roman" w:ascii="Cambria" w:hAnsi="Cambria"/>
                <w:sz w:val="18"/>
                <w:szCs w:val="18"/>
              </w:rPr>
              <w:t>Дебиторская задолженность</w:t>
            </w:r>
          </w:p>
        </w:tc>
        <w:tc>
          <w:tcPr>
            <w:tcW w:w="182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(18 604)</w:t>
            </w:r>
          </w:p>
        </w:tc>
        <w:tc>
          <w:tcPr>
            <w:tcW w:w="169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(6 696)</w:t>
            </w:r>
          </w:p>
        </w:tc>
        <w:tc>
          <w:tcPr>
            <w:tcW w:w="1298"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(11 909)</w:t>
            </w:r>
          </w:p>
        </w:tc>
      </w:tr>
      <w:tr>
        <w:trPr>
          <w:trHeight w:val="20" w:hRule="atLeast"/>
        </w:trPr>
        <w:tc>
          <w:tcPr>
            <w:tcW w:w="4163" w:type="dxa"/>
            <w:tcBorders/>
            <w:shd w:fill="auto" w:val="clear"/>
            <w:vAlign w:val="center"/>
          </w:tcPr>
          <w:p>
            <w:pPr>
              <w:pStyle w:val="Normal"/>
              <w:ind w:right="134" w:hanging="0"/>
              <w:rPr>
                <w:rFonts w:ascii="Cambria" w:hAnsi="Cambria" w:eastAsia="Times New Roman"/>
                <w:sz w:val="18"/>
                <w:szCs w:val="18"/>
              </w:rPr>
            </w:pPr>
            <w:r>
              <w:rPr>
                <w:rFonts w:eastAsia="Times New Roman" w:ascii="Cambria" w:hAnsi="Cambria"/>
                <w:sz w:val="18"/>
                <w:szCs w:val="18"/>
              </w:rPr>
              <w:t>Запасы</w:t>
            </w:r>
          </w:p>
        </w:tc>
        <w:tc>
          <w:tcPr>
            <w:tcW w:w="182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1 871</w:t>
            </w:r>
          </w:p>
        </w:tc>
        <w:tc>
          <w:tcPr>
            <w:tcW w:w="169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1 065</w:t>
            </w:r>
          </w:p>
        </w:tc>
        <w:tc>
          <w:tcPr>
            <w:tcW w:w="1298"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805</w:t>
            </w:r>
          </w:p>
        </w:tc>
      </w:tr>
      <w:tr>
        <w:trPr>
          <w:trHeight w:val="20" w:hRule="atLeast"/>
        </w:trPr>
        <w:tc>
          <w:tcPr>
            <w:tcW w:w="4163" w:type="dxa"/>
            <w:tcBorders/>
            <w:shd w:fill="auto" w:val="clear"/>
            <w:vAlign w:val="center"/>
          </w:tcPr>
          <w:p>
            <w:pPr>
              <w:pStyle w:val="Normal"/>
              <w:ind w:right="134" w:hanging="0"/>
              <w:rPr>
                <w:rFonts w:ascii="Cambria" w:hAnsi="Cambria" w:eastAsia="Times New Roman"/>
                <w:sz w:val="18"/>
                <w:szCs w:val="18"/>
              </w:rPr>
            </w:pPr>
            <w:r>
              <w:rPr>
                <w:rFonts w:eastAsia="Times New Roman" w:ascii="Cambria" w:hAnsi="Cambria"/>
                <w:sz w:val="18"/>
                <w:szCs w:val="18"/>
              </w:rPr>
              <w:t>Кредиты и займы</w:t>
            </w:r>
          </w:p>
        </w:tc>
        <w:tc>
          <w:tcPr>
            <w:tcW w:w="182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2 021</w:t>
            </w:r>
          </w:p>
        </w:tc>
        <w:tc>
          <w:tcPr>
            <w:tcW w:w="169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(1 333)</w:t>
            </w:r>
          </w:p>
        </w:tc>
        <w:tc>
          <w:tcPr>
            <w:tcW w:w="1298"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3 353</w:t>
            </w:r>
          </w:p>
        </w:tc>
      </w:tr>
      <w:tr>
        <w:trPr>
          <w:trHeight w:val="20" w:hRule="atLeast"/>
        </w:trPr>
        <w:tc>
          <w:tcPr>
            <w:tcW w:w="4163" w:type="dxa"/>
            <w:tcBorders/>
            <w:shd w:fill="auto" w:val="clear"/>
            <w:vAlign w:val="center"/>
          </w:tcPr>
          <w:p>
            <w:pPr>
              <w:pStyle w:val="Normal"/>
              <w:ind w:right="134" w:hanging="0"/>
              <w:rPr>
                <w:rFonts w:ascii="Cambria" w:hAnsi="Cambria" w:eastAsia="Times New Roman"/>
                <w:sz w:val="18"/>
                <w:szCs w:val="18"/>
              </w:rPr>
            </w:pPr>
            <w:r>
              <w:rPr>
                <w:rFonts w:eastAsia="Times New Roman" w:ascii="Cambria" w:hAnsi="Cambria"/>
                <w:sz w:val="18"/>
                <w:szCs w:val="18"/>
              </w:rPr>
              <w:t>Кредиторская задолженность</w:t>
            </w:r>
          </w:p>
        </w:tc>
        <w:tc>
          <w:tcPr>
            <w:tcW w:w="182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1 645</w:t>
            </w:r>
          </w:p>
        </w:tc>
        <w:tc>
          <w:tcPr>
            <w:tcW w:w="1694"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(1 155)</w:t>
            </w:r>
          </w:p>
        </w:tc>
        <w:tc>
          <w:tcPr>
            <w:tcW w:w="1298" w:type="dxa"/>
            <w:tcBorders/>
            <w:shd w:fill="auto" w:val="clear"/>
            <w:vAlign w:val="bottom"/>
          </w:tcPr>
          <w:p>
            <w:pPr>
              <w:pStyle w:val="Normal"/>
              <w:jc w:val="right"/>
              <w:rPr>
                <w:rFonts w:ascii="Cambria" w:hAnsi="Cambria" w:eastAsia="Times New Roman" w:cs="Arial"/>
                <w:sz w:val="18"/>
                <w:szCs w:val="18"/>
              </w:rPr>
            </w:pPr>
            <w:r>
              <w:rPr>
                <w:rFonts w:cs="Arial" w:ascii="Cambria" w:hAnsi="Cambria"/>
                <w:sz w:val="18"/>
                <w:szCs w:val="18"/>
              </w:rPr>
              <w:t>2 800</w:t>
            </w:r>
          </w:p>
        </w:tc>
      </w:tr>
      <w:tr>
        <w:trPr>
          <w:trHeight w:val="20" w:hRule="atLeast"/>
        </w:trPr>
        <w:tc>
          <w:tcPr>
            <w:tcW w:w="4163" w:type="dxa"/>
            <w:tcBorders/>
            <w:shd w:fill="auto" w:val="clear"/>
            <w:vAlign w:val="center"/>
          </w:tcPr>
          <w:p>
            <w:pPr>
              <w:pStyle w:val="Normal"/>
              <w:ind w:right="134" w:hanging="0"/>
              <w:rPr>
                <w:rFonts w:ascii="Cambria" w:hAnsi="Cambria" w:eastAsia="Times New Roman"/>
                <w:b/>
                <w:b/>
                <w:bCs/>
                <w:sz w:val="18"/>
                <w:szCs w:val="18"/>
              </w:rPr>
            </w:pPr>
            <w:r>
              <w:rPr>
                <w:rFonts w:eastAsia="Times New Roman" w:ascii="Cambria" w:hAnsi="Cambria"/>
                <w:b/>
                <w:bCs/>
                <w:sz w:val="18"/>
                <w:szCs w:val="18"/>
              </w:rPr>
              <w:t>Итого отложенных налоговых активов/(обязательств)</w:t>
            </w:r>
          </w:p>
        </w:tc>
        <w:tc>
          <w:tcPr>
            <w:tcW w:w="1824" w:type="dxa"/>
            <w:tcBorders>
              <w:top w:val="single" w:sz="8" w:space="0" w:color="000000"/>
              <w:bottom w:val="double" w:sz="6" w:space="0" w:color="000000"/>
              <w:insideH w:val="double" w:sz="6" w:space="0" w:color="000000"/>
            </w:tcBorders>
            <w:shd w:fill="auto" w:val="clear"/>
            <w:vAlign w:val="bottom"/>
          </w:tcPr>
          <w:p>
            <w:pPr>
              <w:pStyle w:val="Normal"/>
              <w:jc w:val="right"/>
              <w:rPr>
                <w:rFonts w:ascii="Cambria" w:hAnsi="Cambria" w:eastAsia="Times New Roman" w:cs="Arial"/>
                <w:sz w:val="18"/>
                <w:szCs w:val="18"/>
              </w:rPr>
            </w:pPr>
            <w:r>
              <w:rPr>
                <w:rFonts w:cs="Arial" w:ascii="Cambria" w:hAnsi="Cambria"/>
                <w:b/>
                <w:bCs/>
                <w:sz w:val="18"/>
                <w:szCs w:val="18"/>
              </w:rPr>
              <w:t>(768 838)</w:t>
            </w:r>
          </w:p>
        </w:tc>
        <w:tc>
          <w:tcPr>
            <w:tcW w:w="1694" w:type="dxa"/>
            <w:tcBorders>
              <w:top w:val="single" w:sz="8" w:space="0" w:color="000000"/>
              <w:bottom w:val="double" w:sz="6" w:space="0" w:color="000000"/>
              <w:insideH w:val="double" w:sz="6" w:space="0" w:color="000000"/>
            </w:tcBorders>
            <w:shd w:fill="auto" w:val="clear"/>
            <w:vAlign w:val="bottom"/>
          </w:tcPr>
          <w:p>
            <w:pPr>
              <w:pStyle w:val="Normal"/>
              <w:ind w:left="360" w:hanging="0"/>
              <w:jc w:val="right"/>
              <w:rPr>
                <w:rFonts w:ascii="Cambria" w:hAnsi="Cambria" w:eastAsia="Times New Roman" w:cs="Arial"/>
                <w:sz w:val="18"/>
                <w:szCs w:val="18"/>
              </w:rPr>
            </w:pPr>
            <w:r>
              <w:rPr>
                <w:rFonts w:cs="Arial" w:ascii="Cambria" w:hAnsi="Cambria"/>
                <w:b/>
                <w:bCs/>
                <w:sz w:val="18"/>
                <w:szCs w:val="18"/>
              </w:rPr>
              <w:t>52 549</w:t>
            </w:r>
          </w:p>
        </w:tc>
        <w:tc>
          <w:tcPr>
            <w:tcW w:w="1298" w:type="dxa"/>
            <w:tcBorders>
              <w:top w:val="single" w:sz="8" w:space="0" w:color="000000"/>
              <w:bottom w:val="double" w:sz="6" w:space="0" w:color="000000"/>
              <w:insideH w:val="double" w:sz="6" w:space="0" w:color="000000"/>
            </w:tcBorders>
            <w:shd w:fill="auto" w:val="clear"/>
            <w:vAlign w:val="bottom"/>
          </w:tcPr>
          <w:p>
            <w:pPr>
              <w:pStyle w:val="Normal"/>
              <w:jc w:val="right"/>
              <w:rPr>
                <w:rFonts w:ascii="Cambria" w:hAnsi="Cambria" w:eastAsia="Times New Roman" w:cs="Arial"/>
                <w:sz w:val="18"/>
                <w:szCs w:val="18"/>
              </w:rPr>
            </w:pPr>
            <w:r>
              <w:rPr>
                <w:rFonts w:cs="Arial" w:ascii="Cambria" w:hAnsi="Cambria"/>
                <w:b/>
                <w:bCs/>
                <w:sz w:val="18"/>
                <w:szCs w:val="18"/>
              </w:rPr>
              <w:t>(821 387)</w:t>
            </w:r>
          </w:p>
        </w:tc>
      </w:tr>
    </w:tbl>
    <w:p>
      <w:pPr>
        <w:pStyle w:val="Normal"/>
        <w:spacing w:before="120" w:after="120"/>
        <w:ind w:right="136" w:hanging="0"/>
        <w:jc w:val="both"/>
        <w:rPr>
          <w:rFonts w:ascii="Cambria" w:hAnsi="Cambria"/>
          <w:sz w:val="20"/>
          <w:szCs w:val="20"/>
        </w:rPr>
      </w:pPr>
      <w:r>
        <w:rPr>
          <w:rFonts w:ascii="Cambria" w:hAnsi="Cambria"/>
          <w:sz w:val="20"/>
          <w:szCs w:val="20"/>
        </w:rPr>
        <w:t xml:space="preserve">. </w:t>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t>Показатель прибыли до вычета процентов, налогов и амортизации (показатель EBITDA)</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Руководство Группы представило информацию о показателе EBITDA. Этот показатель используется руководством при оценке финансовых результатов деятельности Группы, и поэтому руководство полагает, что его представление является уместным. Показатель EBITDA рассчитывается путем корректировки показателя прибыли от операционной деятельности на сумму амортизации основных средств и нематериальных активов.</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Показатель EBITDA не является установленным показателем для оценки финансовых результатов согласно МСФО. Соответственно порядок расчета показателя EBITDA, применяемый Группой, может не соответствовать порядку расчета одноименного показателя, применяемому другими предприятиями.</w:t>
      </w:r>
    </w:p>
    <w:p>
      <w:pPr>
        <w:pStyle w:val="Normal"/>
        <w:spacing w:before="120" w:after="120"/>
        <w:ind w:right="134" w:hanging="0"/>
        <w:jc w:val="both"/>
        <w:rPr>
          <w:rFonts w:ascii="Cambria" w:hAnsi="Cambria" w:eastAsia="Times New Roman" w:cs="Arial"/>
          <w:b/>
          <w:b/>
          <w:sz w:val="20"/>
          <w:szCs w:val="20"/>
        </w:rPr>
      </w:pPr>
      <w:r>
        <w:rPr>
          <w:rFonts w:eastAsia="Times New Roman" w:cs="Arial" w:ascii="Cambria" w:hAnsi="Cambria"/>
          <w:b/>
          <w:sz w:val="20"/>
          <w:szCs w:val="20"/>
        </w:rPr>
        <w:t>Сверка показателя EBITDA</w:t>
      </w:r>
    </w:p>
    <w:tbl>
      <w:tblPr>
        <w:tblW w:w="7060" w:type="dxa"/>
        <w:jc w:val="left"/>
        <w:tblInd w:w="1" w:type="dxa"/>
        <w:tblBorders/>
        <w:tblCellMar>
          <w:top w:w="0" w:type="dxa"/>
          <w:left w:w="108" w:type="dxa"/>
          <w:bottom w:w="0" w:type="dxa"/>
          <w:right w:w="108" w:type="dxa"/>
        </w:tblCellMar>
        <w:tblLook w:firstRow="1" w:noVBand="1" w:lastRow="0" w:firstColumn="1" w:lastColumn="0" w:noHBand="0" w:val="04a0"/>
      </w:tblPr>
      <w:tblGrid>
        <w:gridCol w:w="3220"/>
        <w:gridCol w:w="2060"/>
        <w:gridCol w:w="1780"/>
      </w:tblGrid>
      <w:tr>
        <w:trPr>
          <w:trHeight w:val="285" w:hRule="atLeast"/>
        </w:trPr>
        <w:tc>
          <w:tcPr>
            <w:tcW w:w="3220"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060"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2018</w:t>
            </w:r>
          </w:p>
        </w:tc>
        <w:tc>
          <w:tcPr>
            <w:tcW w:w="1780"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2017</w:t>
            </w:r>
          </w:p>
        </w:tc>
      </w:tr>
      <w:tr>
        <w:trPr>
          <w:trHeight w:val="270" w:hRule="atLeast"/>
        </w:trPr>
        <w:tc>
          <w:tcPr>
            <w:tcW w:w="32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Убыток от операционной деятельности</w:t>
            </w:r>
          </w:p>
        </w:tc>
        <w:tc>
          <w:tcPr>
            <w:tcW w:w="206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202 997 </w:t>
            </w:r>
          </w:p>
        </w:tc>
        <w:tc>
          <w:tcPr>
            <w:tcW w:w="178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(58 369)</w:t>
            </w:r>
          </w:p>
        </w:tc>
      </w:tr>
      <w:tr>
        <w:trPr>
          <w:trHeight w:val="270" w:hRule="atLeast"/>
        </w:trPr>
        <w:tc>
          <w:tcPr>
            <w:tcW w:w="3220" w:type="dxa"/>
            <w:tcBorders/>
            <w:shd w:fill="auto" w:val="clear"/>
            <w:vAlign w:val="bottom"/>
          </w:tcPr>
          <w:p>
            <w:pPr>
              <w:pStyle w:val="Normal"/>
              <w:jc w:val="right"/>
              <w:rPr>
                <w:rFonts w:ascii="Cambria" w:hAnsi="Cambria" w:eastAsia="Times New Roman" w:cs="Calibri"/>
                <w:i/>
                <w:i/>
                <w:color w:val="000000"/>
                <w:sz w:val="18"/>
                <w:szCs w:val="18"/>
                <w:lang w:bidi="ar-SA"/>
              </w:rPr>
            </w:pPr>
            <w:r>
              <w:rPr>
                <w:rFonts w:eastAsia="Times New Roman" w:cs="Calibri" w:ascii="Cambria" w:hAnsi="Cambria"/>
                <w:i/>
                <w:color w:val="000000"/>
                <w:sz w:val="18"/>
                <w:szCs w:val="18"/>
                <w:lang w:bidi="ar-SA"/>
              </w:rPr>
              <w:t>Корректировки</w:t>
            </w:r>
          </w:p>
        </w:tc>
        <w:tc>
          <w:tcPr>
            <w:tcW w:w="2060" w:type="dxa"/>
            <w:tcBorders/>
            <w:shd w:fill="auto" w:val="clear"/>
            <w:vAlign w:val="bottom"/>
          </w:tcPr>
          <w:p>
            <w:pPr>
              <w:pStyle w:val="Normal"/>
              <w:jc w:val="right"/>
              <w:rPr>
                <w:rFonts w:ascii="Trebuchet MS" w:hAnsi="Trebuchet MS" w:eastAsia="Times New Roman" w:cs="Calibri"/>
                <w:i/>
                <w:i/>
                <w:iCs/>
                <w:color w:val="000000"/>
                <w:sz w:val="16"/>
                <w:szCs w:val="16"/>
                <w:lang w:bidi="ar-SA"/>
              </w:rPr>
            </w:pPr>
            <w:r>
              <w:rPr>
                <w:rFonts w:eastAsia="Times New Roman" w:cs="Calibri" w:ascii="Trebuchet MS" w:hAnsi="Trebuchet MS"/>
                <w:i/>
                <w:iCs/>
                <w:color w:val="000000"/>
                <w:sz w:val="16"/>
                <w:szCs w:val="16"/>
                <w:lang w:bidi="ar-SA"/>
              </w:rPr>
            </w:r>
          </w:p>
        </w:tc>
        <w:tc>
          <w:tcPr>
            <w:tcW w:w="1780"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270" w:hRule="atLeast"/>
        </w:trPr>
        <w:tc>
          <w:tcPr>
            <w:tcW w:w="32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Амортизация основных средств</w:t>
            </w:r>
          </w:p>
        </w:tc>
        <w:tc>
          <w:tcPr>
            <w:tcW w:w="206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364 889 </w:t>
            </w:r>
          </w:p>
        </w:tc>
        <w:tc>
          <w:tcPr>
            <w:tcW w:w="178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361 858 </w:t>
            </w:r>
          </w:p>
        </w:tc>
      </w:tr>
      <w:tr>
        <w:trPr>
          <w:trHeight w:val="270" w:hRule="atLeast"/>
        </w:trPr>
        <w:tc>
          <w:tcPr>
            <w:tcW w:w="32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Амортизация инвестиционного имущества</w:t>
            </w:r>
          </w:p>
        </w:tc>
        <w:tc>
          <w:tcPr>
            <w:tcW w:w="206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4 229 </w:t>
            </w:r>
          </w:p>
        </w:tc>
        <w:tc>
          <w:tcPr>
            <w:tcW w:w="178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4 229 </w:t>
            </w:r>
          </w:p>
        </w:tc>
      </w:tr>
      <w:tr>
        <w:trPr>
          <w:trHeight w:val="285" w:hRule="atLeast"/>
        </w:trPr>
        <w:tc>
          <w:tcPr>
            <w:tcW w:w="32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Амортизация нематериальных активов</w:t>
            </w:r>
          </w:p>
        </w:tc>
        <w:tc>
          <w:tcPr>
            <w:tcW w:w="206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781 </w:t>
            </w:r>
          </w:p>
        </w:tc>
        <w:tc>
          <w:tcPr>
            <w:tcW w:w="1780" w:type="dxa"/>
            <w:tcBorders/>
            <w:shd w:fill="auto" w:val="clear"/>
            <w:vAlign w:val="center"/>
          </w:tcPr>
          <w:p>
            <w:pPr>
              <w:pStyle w:val="Normal"/>
              <w:rPr>
                <w:rFonts w:ascii="Cambria" w:hAnsi="Cambria" w:eastAsia="Times New Roman" w:cs="Calibri"/>
                <w:color w:val="000000"/>
                <w:sz w:val="18"/>
                <w:szCs w:val="18"/>
                <w:lang w:bidi="ar-SA"/>
              </w:rPr>
            </w:pPr>
            <w:r>
              <w:rPr>
                <w:rFonts w:cs="Calibri" w:ascii="Cambria" w:hAnsi="Cambria"/>
                <w:color w:val="000000"/>
                <w:sz w:val="18"/>
                <w:szCs w:val="18"/>
              </w:rPr>
              <w:t xml:space="preserve">                          </w:t>
            </w:r>
            <w:r>
              <w:rPr>
                <w:rFonts w:cs="Calibri" w:ascii="Cambria" w:hAnsi="Cambria"/>
                <w:color w:val="000000"/>
                <w:sz w:val="18"/>
                <w:szCs w:val="18"/>
              </w:rPr>
              <w:t xml:space="preserve">1 093 </w:t>
            </w:r>
          </w:p>
        </w:tc>
      </w:tr>
      <w:tr>
        <w:trPr>
          <w:trHeight w:val="285" w:hRule="atLeast"/>
        </w:trPr>
        <w:tc>
          <w:tcPr>
            <w:tcW w:w="32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0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cs="Calibri" w:ascii="Cambria" w:hAnsi="Cambria"/>
                <w:b/>
                <w:bCs/>
                <w:color w:val="000000"/>
                <w:sz w:val="18"/>
                <w:szCs w:val="18"/>
              </w:rPr>
              <w:t>572 896</w:t>
            </w:r>
          </w:p>
        </w:tc>
        <w:tc>
          <w:tcPr>
            <w:tcW w:w="178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cs="Calibri" w:ascii="Cambria" w:hAnsi="Cambria"/>
                <w:b/>
                <w:bCs/>
                <w:color w:val="000000"/>
                <w:sz w:val="18"/>
                <w:szCs w:val="18"/>
              </w:rPr>
              <w:t>308 810</w:t>
            </w:r>
          </w:p>
        </w:tc>
      </w:tr>
    </w:tbl>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t>ВЫРУЧКА</w:t>
      </w:r>
    </w:p>
    <w:tbl>
      <w:tblPr>
        <w:tblW w:w="7624" w:type="dxa"/>
        <w:jc w:val="left"/>
        <w:tblInd w:w="1" w:type="dxa"/>
        <w:tblBorders/>
        <w:tblCellMar>
          <w:top w:w="0" w:type="dxa"/>
          <w:left w:w="108" w:type="dxa"/>
          <w:bottom w:w="0" w:type="dxa"/>
          <w:right w:w="108" w:type="dxa"/>
        </w:tblCellMar>
        <w:tblLook w:firstRow="1" w:noVBand="1" w:lastRow="0" w:firstColumn="1" w:lastColumn="0" w:noHBand="0" w:val="04a0"/>
      </w:tblPr>
      <w:tblGrid>
        <w:gridCol w:w="4463"/>
        <w:gridCol w:w="1460"/>
        <w:gridCol w:w="260"/>
        <w:gridCol w:w="1440"/>
      </w:tblGrid>
      <w:tr>
        <w:trPr>
          <w:trHeight w:val="495" w:hRule="atLeast"/>
        </w:trPr>
        <w:tc>
          <w:tcPr>
            <w:tcW w:w="4463"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460"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2018</w:t>
            </w:r>
          </w:p>
        </w:tc>
        <w:tc>
          <w:tcPr>
            <w:tcW w:w="260"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 </w:t>
            </w:r>
          </w:p>
        </w:tc>
        <w:tc>
          <w:tcPr>
            <w:tcW w:w="1440"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2017</w:t>
            </w:r>
          </w:p>
        </w:tc>
      </w:tr>
      <w:tr>
        <w:trPr>
          <w:trHeight w:val="525" w:hRule="atLeast"/>
        </w:trPr>
        <w:tc>
          <w:tcPr>
            <w:tcW w:w="4463"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Выручка от реализации продукции и услуг</w:t>
            </w:r>
          </w:p>
        </w:tc>
        <w:tc>
          <w:tcPr>
            <w:tcW w:w="146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2 742 242</w:t>
            </w:r>
          </w:p>
        </w:tc>
        <w:tc>
          <w:tcPr>
            <w:tcW w:w="260" w:type="dxa"/>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144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2 466 626</w:t>
            </w:r>
          </w:p>
        </w:tc>
      </w:tr>
      <w:tr>
        <w:trPr>
          <w:trHeight w:val="315" w:hRule="atLeast"/>
        </w:trPr>
        <w:tc>
          <w:tcPr>
            <w:tcW w:w="4463"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Всего выручка</w:t>
            </w:r>
          </w:p>
        </w:tc>
        <w:tc>
          <w:tcPr>
            <w:tcW w:w="14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b/>
                <w:b/>
                <w:bCs/>
                <w:color w:val="000000"/>
                <w:sz w:val="18"/>
                <w:szCs w:val="18"/>
                <w:lang w:bidi="ar-SA"/>
              </w:rPr>
            </w:pPr>
            <w:r>
              <w:rPr>
                <w:rFonts w:ascii="Cambria" w:hAnsi="Cambria"/>
                <w:b/>
                <w:bCs/>
                <w:color w:val="000000"/>
                <w:sz w:val="18"/>
                <w:szCs w:val="18"/>
              </w:rPr>
              <w:t>2 742 242</w:t>
            </w:r>
          </w:p>
        </w:tc>
        <w:tc>
          <w:tcPr>
            <w:tcW w:w="2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b/>
                <w:b/>
                <w:bCs/>
                <w:color w:val="000000"/>
                <w:sz w:val="18"/>
                <w:szCs w:val="18"/>
                <w:lang w:bidi="ar-SA"/>
              </w:rPr>
            </w:pPr>
            <w:r>
              <w:rPr>
                <w:rFonts w:ascii="Cambria" w:hAnsi="Cambria"/>
                <w:b/>
                <w:bCs/>
                <w:color w:val="000000"/>
                <w:sz w:val="18"/>
                <w:szCs w:val="18"/>
              </w:rPr>
              <w:t> </w:t>
            </w:r>
          </w:p>
        </w:tc>
        <w:tc>
          <w:tcPr>
            <w:tcW w:w="144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b/>
                <w:b/>
                <w:bCs/>
                <w:color w:val="000000"/>
                <w:sz w:val="18"/>
                <w:szCs w:val="18"/>
                <w:lang w:bidi="ar-SA"/>
              </w:rPr>
            </w:pPr>
            <w:r>
              <w:rPr>
                <w:rFonts w:ascii="Cambria" w:hAnsi="Cambria"/>
                <w:b/>
                <w:bCs/>
                <w:color w:val="000000"/>
                <w:sz w:val="18"/>
                <w:szCs w:val="18"/>
              </w:rPr>
              <w:t>2 466 626</w:t>
            </w:r>
          </w:p>
        </w:tc>
      </w:tr>
    </w:tbl>
    <w:p>
      <w:pPr>
        <w:pStyle w:val="ListParagraph"/>
        <w:keepLines/>
        <w:numPr>
          <w:ilvl w:val="0"/>
          <w:numId w:val="0"/>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r>
    </w:p>
    <w:p>
      <w:pPr>
        <w:pStyle w:val="ListParagraph"/>
        <w:keepLines/>
        <w:numPr>
          <w:ilvl w:val="0"/>
          <w:numId w:val="0"/>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r>
    </w:p>
    <w:p>
      <w:pPr>
        <w:pStyle w:val="ListParagraph"/>
        <w:keepLines/>
        <w:numPr>
          <w:ilvl w:val="0"/>
          <w:numId w:val="0"/>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t xml:space="preserve">СЕБЕСТОИМОСТЬ </w:t>
      </w:r>
    </w:p>
    <w:tbl>
      <w:tblPr>
        <w:tblW w:w="7460" w:type="dxa"/>
        <w:jc w:val="left"/>
        <w:tblInd w:w="1" w:type="dxa"/>
        <w:tblBorders/>
        <w:tblCellMar>
          <w:top w:w="0" w:type="dxa"/>
          <w:left w:w="108" w:type="dxa"/>
          <w:bottom w:w="0" w:type="dxa"/>
          <w:right w:w="108" w:type="dxa"/>
        </w:tblCellMar>
        <w:tblLook w:firstRow="1" w:noVBand="1" w:lastRow="0" w:firstColumn="1" w:lastColumn="0" w:noHBand="0" w:val="04a0"/>
      </w:tblPr>
      <w:tblGrid>
        <w:gridCol w:w="3720"/>
        <w:gridCol w:w="1840"/>
        <w:gridCol w:w="1900"/>
      </w:tblGrid>
      <w:tr>
        <w:trPr>
          <w:trHeight w:val="495" w:hRule="atLeast"/>
        </w:trPr>
        <w:tc>
          <w:tcPr>
            <w:tcW w:w="3720"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840"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2018</w:t>
            </w:r>
          </w:p>
        </w:tc>
        <w:tc>
          <w:tcPr>
            <w:tcW w:w="1900"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2017</w:t>
            </w:r>
          </w:p>
        </w:tc>
      </w:tr>
      <w:tr>
        <w:trPr>
          <w:trHeight w:val="300" w:hRule="atLeast"/>
        </w:trPr>
        <w:tc>
          <w:tcPr>
            <w:tcW w:w="3720" w:type="dxa"/>
            <w:tcBorders/>
            <w:shd w:fill="auto" w:val="clear"/>
            <w:vAlign w:val="bottom"/>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1840" w:type="dxa"/>
            <w:tcBorders/>
            <w:shd w:fill="auto" w:val="clear"/>
            <w:vAlign w:val="center"/>
          </w:tcPr>
          <w:p>
            <w:pPr>
              <w:pStyle w:val="Normal"/>
              <w:jc w:val="right"/>
              <w:rPr>
                <w:rFonts w:ascii="Univers 45 Light" w:hAnsi="Univers 45 Light" w:eastAsia="Times New Roman" w:cs="Calibri"/>
                <w:color w:val="000000"/>
                <w:sz w:val="18"/>
                <w:szCs w:val="18"/>
                <w:lang w:bidi="ar-SA"/>
              </w:rPr>
            </w:pPr>
            <w:r>
              <w:rPr>
                <w:rFonts w:eastAsia="Times New Roman" w:cs="Calibri" w:ascii="Univers 45 Light" w:hAnsi="Univers 45 Light"/>
                <w:color w:val="000000"/>
                <w:sz w:val="18"/>
                <w:szCs w:val="18"/>
                <w:lang w:bidi="ar-SA"/>
              </w:rPr>
            </w:r>
          </w:p>
        </w:tc>
        <w:tc>
          <w:tcPr>
            <w:tcW w:w="1900" w:type="dxa"/>
            <w:tcBorders/>
            <w:shd w:fill="auto" w:val="clear"/>
            <w:vAlign w:val="center"/>
          </w:tcPr>
          <w:p>
            <w:pPr>
              <w:pStyle w:val="Normal"/>
              <w:jc w:val="right"/>
              <w:rPr>
                <w:rFonts w:ascii="Univers 45 Light" w:hAnsi="Univers 45 Light" w:eastAsia="Times New Roman" w:cs="Calibri"/>
                <w:color w:val="000000"/>
                <w:sz w:val="18"/>
                <w:szCs w:val="18"/>
                <w:lang w:bidi="ar-SA"/>
              </w:rPr>
            </w:pPr>
            <w:r>
              <w:rPr>
                <w:rFonts w:eastAsia="Times New Roman" w:cs="Calibri" w:ascii="Univers 45 Light" w:hAnsi="Univers 45 Light"/>
                <w:color w:val="000000"/>
                <w:sz w:val="18"/>
                <w:szCs w:val="18"/>
                <w:lang w:bidi="ar-SA"/>
              </w:rPr>
            </w:r>
          </w:p>
        </w:tc>
      </w:tr>
      <w:tr>
        <w:trPr>
          <w:trHeight w:val="300" w:hRule="atLeast"/>
        </w:trPr>
        <w:tc>
          <w:tcPr>
            <w:tcW w:w="37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Сырье и материалы</w:t>
            </w:r>
          </w:p>
        </w:tc>
        <w:tc>
          <w:tcPr>
            <w:tcW w:w="184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432 987</w:t>
            </w:r>
          </w:p>
        </w:tc>
        <w:tc>
          <w:tcPr>
            <w:tcW w:w="190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701 604</w:t>
            </w:r>
          </w:p>
        </w:tc>
      </w:tr>
      <w:tr>
        <w:trPr>
          <w:trHeight w:val="300" w:hRule="atLeast"/>
        </w:trPr>
        <w:tc>
          <w:tcPr>
            <w:tcW w:w="37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 xml:space="preserve">Расходы на оплату труда </w:t>
            </w:r>
          </w:p>
        </w:tc>
        <w:tc>
          <w:tcPr>
            <w:tcW w:w="184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348 433</w:t>
            </w:r>
          </w:p>
        </w:tc>
        <w:tc>
          <w:tcPr>
            <w:tcW w:w="190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361 440</w:t>
            </w:r>
          </w:p>
        </w:tc>
      </w:tr>
      <w:tr>
        <w:trPr>
          <w:trHeight w:val="495" w:hRule="atLeast"/>
        </w:trPr>
        <w:tc>
          <w:tcPr>
            <w:tcW w:w="3720" w:type="dxa"/>
            <w:tcBorders/>
            <w:shd w:fill="auto" w:val="clear"/>
            <w:vAlign w:val="bottom"/>
          </w:tcPr>
          <w:p>
            <w:pPr>
              <w:pStyle w:val="Normal"/>
              <w:rPr>
                <w:rFonts w:ascii="Cambria" w:hAnsi="Cambria" w:eastAsia="Times New Roman" w:cs="Calibri"/>
                <w:sz w:val="18"/>
                <w:szCs w:val="18"/>
                <w:lang w:bidi="ar-SA"/>
              </w:rPr>
            </w:pPr>
            <w:r>
              <w:rPr>
                <w:rFonts w:eastAsia="Times New Roman" w:cs="Calibri" w:ascii="Cambria" w:hAnsi="Cambria"/>
                <w:sz w:val="18"/>
                <w:szCs w:val="18"/>
                <w:lang w:bidi="ar-SA"/>
              </w:rPr>
              <w:t>Услуги сторонних организаций</w:t>
            </w:r>
          </w:p>
        </w:tc>
        <w:tc>
          <w:tcPr>
            <w:tcW w:w="184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328 350</w:t>
            </w:r>
          </w:p>
        </w:tc>
        <w:tc>
          <w:tcPr>
            <w:tcW w:w="190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322 812</w:t>
            </w:r>
          </w:p>
        </w:tc>
      </w:tr>
      <w:tr>
        <w:trPr>
          <w:trHeight w:val="525" w:hRule="atLeast"/>
        </w:trPr>
        <w:tc>
          <w:tcPr>
            <w:tcW w:w="37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Расходы на страховые взносы</w:t>
            </w:r>
          </w:p>
        </w:tc>
        <w:tc>
          <w:tcPr>
            <w:tcW w:w="184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103 092</w:t>
            </w:r>
          </w:p>
        </w:tc>
        <w:tc>
          <w:tcPr>
            <w:tcW w:w="190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105 782</w:t>
            </w:r>
          </w:p>
        </w:tc>
      </w:tr>
      <w:tr>
        <w:trPr>
          <w:trHeight w:val="315" w:hRule="atLeast"/>
        </w:trPr>
        <w:tc>
          <w:tcPr>
            <w:tcW w:w="37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Амортизация</w:t>
            </w:r>
          </w:p>
        </w:tc>
        <w:tc>
          <w:tcPr>
            <w:tcW w:w="184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151 830</w:t>
            </w:r>
          </w:p>
        </w:tc>
        <w:tc>
          <w:tcPr>
            <w:tcW w:w="190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150 604</w:t>
            </w:r>
          </w:p>
        </w:tc>
      </w:tr>
      <w:tr>
        <w:trPr>
          <w:trHeight w:val="315" w:hRule="atLeast"/>
        </w:trPr>
        <w:tc>
          <w:tcPr>
            <w:tcW w:w="3720"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Прочие расходы</w:t>
            </w:r>
          </w:p>
        </w:tc>
        <w:tc>
          <w:tcPr>
            <w:tcW w:w="184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31 004</w:t>
            </w:r>
          </w:p>
        </w:tc>
        <w:tc>
          <w:tcPr>
            <w:tcW w:w="1900" w:type="dxa"/>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33 645</w:t>
            </w:r>
          </w:p>
        </w:tc>
      </w:tr>
      <w:tr>
        <w:trPr>
          <w:trHeight w:val="315" w:hRule="atLeast"/>
        </w:trPr>
        <w:tc>
          <w:tcPr>
            <w:tcW w:w="3720" w:type="dxa"/>
            <w:tcBorders>
              <w:right w:val="single" w:sz="4" w:space="0" w:color="000000"/>
              <w:insideV w:val="single" w:sz="4" w:space="0" w:color="000000"/>
            </w:tcBorders>
            <w:shd w:fill="auto" w:val="clear"/>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Изменение в остатках незавершенного производства и готовой продукции</w:t>
            </w:r>
          </w:p>
        </w:tc>
        <w:tc>
          <w:tcPr>
            <w:tcW w:w="1840"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53 189</w:t>
            </w:r>
          </w:p>
        </w:tc>
        <w:tc>
          <w:tcPr>
            <w:tcW w:w="1900"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(233 050)</w:t>
            </w:r>
          </w:p>
        </w:tc>
      </w:tr>
      <w:tr>
        <w:trPr>
          <w:trHeight w:val="300" w:hRule="atLeast"/>
        </w:trPr>
        <w:tc>
          <w:tcPr>
            <w:tcW w:w="3720" w:type="dxa"/>
            <w:tcBorders/>
            <w:shd w:fill="auto" w:val="clear"/>
            <w:vAlign w:val="bottom"/>
          </w:tcPr>
          <w:p>
            <w:pPr>
              <w:pStyle w:val="Normal"/>
              <w:jc w:val="right"/>
              <w:rPr>
                <w:rFonts w:ascii="Univers 45 Light" w:hAnsi="Univers 45 Light" w:eastAsia="Times New Roman" w:cs="Calibri"/>
                <w:color w:val="000000"/>
                <w:sz w:val="18"/>
                <w:szCs w:val="18"/>
                <w:lang w:bidi="ar-SA"/>
              </w:rPr>
            </w:pPr>
            <w:r>
              <w:rPr>
                <w:rFonts w:eastAsia="Times New Roman" w:cs="Calibri" w:ascii="Univers 45 Light" w:hAnsi="Univers 45 Light"/>
                <w:color w:val="000000"/>
                <w:sz w:val="18"/>
                <w:szCs w:val="18"/>
                <w:lang w:bidi="ar-SA"/>
              </w:rPr>
            </w:r>
          </w:p>
        </w:tc>
        <w:tc>
          <w:tcPr>
            <w:tcW w:w="1840" w:type="dxa"/>
            <w:tcBorders/>
            <w:shd w:fill="auto" w:val="clear"/>
            <w:vAlign w:val="bottom"/>
          </w:tcPr>
          <w:p>
            <w:pPr>
              <w:pStyle w:val="Normal"/>
              <w:jc w:val="right"/>
              <w:rPr>
                <w:rFonts w:ascii="Cambria" w:hAnsi="Cambria" w:eastAsia="Times New Roman" w:cs="Calibri"/>
                <w:b/>
                <w:b/>
                <w:bCs/>
                <w:color w:val="000000"/>
                <w:sz w:val="18"/>
                <w:szCs w:val="18"/>
                <w:lang w:bidi="ar-SA"/>
              </w:rPr>
            </w:pPr>
            <w:r>
              <w:rPr>
                <w:rFonts w:cs="Calibri" w:ascii="Cambria" w:hAnsi="Cambria"/>
                <w:b/>
                <w:bCs/>
                <w:color w:val="000000"/>
                <w:sz w:val="18"/>
                <w:szCs w:val="18"/>
              </w:rPr>
              <w:t>1 448 886</w:t>
            </w:r>
          </w:p>
        </w:tc>
        <w:tc>
          <w:tcPr>
            <w:tcW w:w="1900" w:type="dxa"/>
            <w:tcBorders/>
            <w:shd w:fill="auto" w:val="clear"/>
            <w:vAlign w:val="bottom"/>
          </w:tcPr>
          <w:p>
            <w:pPr>
              <w:pStyle w:val="Normal"/>
              <w:jc w:val="right"/>
              <w:rPr>
                <w:rFonts w:ascii="Cambria" w:hAnsi="Cambria" w:eastAsia="Times New Roman" w:cs="Calibri"/>
                <w:b/>
                <w:b/>
                <w:bCs/>
                <w:color w:val="000000"/>
                <w:sz w:val="18"/>
                <w:szCs w:val="18"/>
                <w:lang w:bidi="ar-SA"/>
              </w:rPr>
            </w:pPr>
            <w:r>
              <w:rPr>
                <w:rFonts w:cs="Calibri" w:ascii="Cambria" w:hAnsi="Cambria"/>
                <w:b/>
                <w:bCs/>
                <w:color w:val="000000"/>
                <w:sz w:val="18"/>
                <w:szCs w:val="18"/>
              </w:rPr>
              <w:t>1 442 837</w:t>
            </w:r>
          </w:p>
        </w:tc>
      </w:tr>
    </w:tbl>
    <w:p>
      <w:pPr>
        <w:pStyle w:val="Normal"/>
        <w:spacing w:before="120" w:after="120"/>
        <w:ind w:right="136" w:hanging="0"/>
        <w:jc w:val="both"/>
        <w:rPr>
          <w:rFonts w:ascii="Cambria" w:hAnsi="Cambria"/>
          <w:sz w:val="20"/>
          <w:szCs w:val="20"/>
        </w:rPr>
      </w:pPr>
      <w:r>
        <w:rPr>
          <w:rFonts w:ascii="Cambria" w:hAnsi="Cambria"/>
          <w:sz w:val="20"/>
          <w:szCs w:val="20"/>
        </w:rPr>
      </w:r>
    </w:p>
    <w:p>
      <w:pPr>
        <w:pStyle w:val="ListParagraph"/>
        <w:keepLines/>
        <w:numPr>
          <w:ilvl w:val="0"/>
          <w:numId w:val="0"/>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bookmarkStart w:id="39" w:name="_Toc511723893"/>
      <w:bookmarkStart w:id="40" w:name="_Toc484003021"/>
      <w:bookmarkStart w:id="41" w:name="_Toc483571987"/>
      <w:r>
        <w:rPr>
          <w:rFonts w:eastAsia="Times New Roman" w:cs="Arial" w:ascii="Cambria" w:hAnsi="Cambria"/>
          <w:b/>
          <w:bCs/>
          <w:kern w:val="2"/>
          <w:szCs w:val="20"/>
        </w:rPr>
        <w:t>АДМИНИСТРАТИВНЫЕ РАСХОДЫ</w:t>
      </w:r>
      <w:bookmarkEnd w:id="39"/>
      <w:bookmarkEnd w:id="40"/>
      <w:bookmarkEnd w:id="41"/>
    </w:p>
    <w:p>
      <w:pPr>
        <w:pStyle w:val="ListParagraph"/>
        <w:keepLines/>
        <w:numPr>
          <w:ilvl w:val="0"/>
          <w:numId w:val="0"/>
        </w:numPr>
        <w:spacing w:before="120" w:after="120"/>
        <w:ind w:left="0" w:right="136"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r>
    </w:p>
    <w:tbl>
      <w:tblPr>
        <w:tblW w:w="7797" w:type="dxa"/>
        <w:jc w:val="left"/>
        <w:tblInd w:w="0" w:type="dxa"/>
        <w:tblBorders/>
        <w:tblCellMar>
          <w:top w:w="0" w:type="dxa"/>
          <w:left w:w="0" w:type="dxa"/>
          <w:bottom w:w="0" w:type="dxa"/>
          <w:right w:w="0" w:type="dxa"/>
        </w:tblCellMar>
        <w:tblLook w:firstRow="1" w:noVBand="1" w:lastRow="0" w:firstColumn="1" w:lastColumn="0" w:noHBand="0" w:val="04a0"/>
      </w:tblPr>
      <w:tblGrid>
        <w:gridCol w:w="3401"/>
        <w:gridCol w:w="1468"/>
        <w:gridCol w:w="222"/>
        <w:gridCol w:w="14"/>
        <w:gridCol w:w="2691"/>
      </w:tblGrid>
      <w:tr>
        <w:trPr>
          <w:trHeight w:val="480" w:hRule="atLeast"/>
        </w:trPr>
        <w:tc>
          <w:tcPr>
            <w:tcW w:w="3401"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468" w:type="dxa"/>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2018</w:t>
            </w:r>
          </w:p>
        </w:tc>
        <w:tc>
          <w:tcPr>
            <w:tcW w:w="222" w:type="dxa"/>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r>
          </w:p>
        </w:tc>
        <w:tc>
          <w:tcPr>
            <w:tcW w:w="2705" w:type="dxa"/>
            <w:gridSpan w:val="2"/>
            <w:tcBorders>
              <w:bottom w:val="single" w:sz="8" w:space="0" w:color="000000"/>
              <w:insideH w:val="single" w:sz="8" w:space="0" w:color="000000"/>
            </w:tcBorders>
            <w:shd w:fill="auto" w:val="clear"/>
            <w:vAlign w:val="center"/>
          </w:tcPr>
          <w:p>
            <w:pPr>
              <w:pStyle w:val="Normal"/>
              <w:jc w:val="right"/>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2017</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 xml:space="preserve">Расходы на оплату труда </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416 909</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390 055</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Амортизация основных средств</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213 059</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211 254</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Расходы на страховые взносы</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121 140</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112 144</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Резерв на неиспользованный отпуск</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58 570</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63 972</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Расходы на содержание основных средств и другого имущества</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30 483</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35 913</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Расходы по содержанию помещений, коммунальные платежи</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41 995</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42 473</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Страхование</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12 757</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16 915</w:t>
            </w:r>
          </w:p>
        </w:tc>
      </w:tr>
      <w:tr>
        <w:trPr>
          <w:trHeight w:val="315"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Аудиторские услуги</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12 481</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1 773</w:t>
            </w:r>
          </w:p>
        </w:tc>
      </w:tr>
      <w:tr>
        <w:trPr>
          <w:trHeight w:val="315"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Прочие налоги</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5 602</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6 407</w:t>
            </w:r>
          </w:p>
        </w:tc>
      </w:tr>
      <w:tr>
        <w:trPr>
          <w:trHeight w:val="315"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Материалы</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70 844</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85 242</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Расходы по операционной аренде</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6 717</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11 038</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Услуги связи</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2 994</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1 990</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Командировочные расходы</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2 108</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1 312</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Транспортные расходы</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3 819</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4 606</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Амортизация нематериальных активов</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781</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1 093</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Информационные и консультационные услуги</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2 317</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9 684</w:t>
            </w:r>
          </w:p>
        </w:tc>
      </w:tr>
      <w:tr>
        <w:trPr>
          <w:trHeight w:val="300"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Рекламные расходы</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55</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w:t>
            </w:r>
          </w:p>
        </w:tc>
      </w:tr>
      <w:tr>
        <w:trPr>
          <w:trHeight w:val="315" w:hRule="atLeast"/>
        </w:trPr>
        <w:tc>
          <w:tcPr>
            <w:tcW w:w="3401" w:type="dxa"/>
            <w:tcBorders/>
            <w:shd w:fill="auto" w:val="clear"/>
            <w:vAlign w:val="bottom"/>
          </w:tcPr>
          <w:p>
            <w:pPr>
              <w:pStyle w:val="Normal"/>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Прочие расходы</w:t>
            </w:r>
          </w:p>
        </w:tc>
        <w:tc>
          <w:tcPr>
            <w:tcW w:w="1468"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30 155</w:t>
            </w:r>
          </w:p>
        </w:tc>
        <w:tc>
          <w:tcPr>
            <w:tcW w:w="236" w:type="dxa"/>
            <w:gridSpan w:val="2"/>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2691" w:type="dxa"/>
            <w:tcBorders/>
            <w:shd w:fill="auto" w:val="clear"/>
            <w:vAlign w:val="bottom"/>
          </w:tcPr>
          <w:p>
            <w:pPr>
              <w:pStyle w:val="Normal"/>
              <w:jc w:val="right"/>
              <w:rPr>
                <w:rFonts w:ascii="Cambria" w:hAnsi="Cambria" w:eastAsia="Times New Roman" w:cs="Calibri"/>
                <w:color w:val="000000"/>
                <w:sz w:val="18"/>
                <w:szCs w:val="18"/>
                <w:lang w:bidi="ar-SA"/>
              </w:rPr>
            </w:pPr>
            <w:r>
              <w:rPr>
                <w:rFonts w:cs="Calibri" w:ascii="Cambria" w:hAnsi="Cambria"/>
                <w:color w:val="000000"/>
                <w:sz w:val="18"/>
                <w:szCs w:val="18"/>
              </w:rPr>
              <w:t>35 508</w:t>
            </w:r>
          </w:p>
        </w:tc>
      </w:tr>
      <w:tr>
        <w:trPr>
          <w:trHeight w:val="495" w:hRule="atLeast"/>
        </w:trPr>
        <w:tc>
          <w:tcPr>
            <w:tcW w:w="3401" w:type="dxa"/>
            <w:tcBorders/>
            <w:shd w:fill="auto" w:val="clear"/>
            <w:vAlign w:val="center"/>
          </w:tcPr>
          <w:p>
            <w:pPr>
              <w:pStyle w:val="Normal"/>
              <w:rPr>
                <w:rFonts w:ascii="Times New Roman" w:hAnsi="Times New Roman" w:eastAsia="Times New Roman"/>
                <w:b/>
                <w:b/>
                <w:bCs/>
                <w:color w:val="000000"/>
                <w:sz w:val="18"/>
                <w:szCs w:val="18"/>
                <w:lang w:bidi="ar-SA"/>
              </w:rPr>
            </w:pPr>
            <w:r>
              <w:rPr>
                <w:rFonts w:eastAsia="Times New Roman" w:ascii="Times New Roman" w:hAnsi="Times New Roman"/>
                <w:b/>
                <w:bCs/>
                <w:color w:val="000000"/>
                <w:sz w:val="18"/>
                <w:szCs w:val="18"/>
                <w:lang w:bidi="ar-SA"/>
              </w:rPr>
              <w:t>Всего общие и административные расходы</w:t>
            </w:r>
          </w:p>
        </w:tc>
        <w:tc>
          <w:tcPr>
            <w:tcW w:w="1468"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b/>
                <w:b/>
                <w:bCs/>
                <w:color w:val="000000"/>
                <w:sz w:val="18"/>
                <w:szCs w:val="18"/>
                <w:lang w:bidi="ar-SA"/>
              </w:rPr>
            </w:pPr>
            <w:r>
              <w:rPr>
                <w:rFonts w:ascii="Cambria" w:hAnsi="Cambria"/>
                <w:b/>
                <w:bCs/>
                <w:color w:val="000000"/>
                <w:sz w:val="18"/>
                <w:szCs w:val="18"/>
              </w:rPr>
              <w:t>1 032 785</w:t>
            </w:r>
          </w:p>
        </w:tc>
        <w:tc>
          <w:tcPr>
            <w:tcW w:w="236" w:type="dxa"/>
            <w:gridSpan w:val="2"/>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2691"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b/>
                <w:b/>
                <w:bCs/>
                <w:color w:val="000000"/>
                <w:sz w:val="18"/>
                <w:szCs w:val="18"/>
                <w:lang w:bidi="ar-SA"/>
              </w:rPr>
            </w:pPr>
            <w:r>
              <w:rPr>
                <w:rFonts w:ascii="Cambria" w:hAnsi="Cambria"/>
                <w:b/>
                <w:bCs/>
                <w:color w:val="000000"/>
                <w:sz w:val="18"/>
                <w:szCs w:val="18"/>
              </w:rPr>
              <w:t>1 031 380</w:t>
            </w:r>
          </w:p>
        </w:tc>
      </w:tr>
    </w:tbl>
    <w:p>
      <w:pPr>
        <w:pStyle w:val="Normal"/>
        <w:tabs>
          <w:tab w:val="clear" w:pos="720"/>
          <w:tab w:val="left" w:pos="1574" w:leader="none"/>
        </w:tabs>
        <w:ind w:right="134" w:hanging="0"/>
        <w:jc w:val="center"/>
        <w:rPr>
          <w:rFonts w:ascii="Cambria" w:hAnsi="Cambria" w:cs="Cambria"/>
          <w:b/>
          <w:b/>
          <w:sz w:val="20"/>
          <w:szCs w:val="20"/>
          <w:lang w:val="en-US" w:bidi="ar-SA"/>
        </w:rPr>
      </w:pPr>
      <w:r>
        <w:rPr>
          <w:rFonts w:cs="Cambria" w:ascii="Cambria" w:hAnsi="Cambria"/>
          <w:b/>
          <w:sz w:val="20"/>
          <w:szCs w:val="20"/>
          <w:lang w:val="en-US" w:bidi="ar-SA"/>
        </w:rPr>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bookmarkStart w:id="42" w:name="_Toc511723894"/>
      <w:bookmarkStart w:id="43" w:name="_Toc484003022"/>
      <w:bookmarkStart w:id="44" w:name="_Toc483571988"/>
      <w:r>
        <w:rPr>
          <w:rFonts w:eastAsia="Times New Roman" w:cs="Arial" w:ascii="Cambria" w:hAnsi="Cambria"/>
          <w:b/>
          <w:bCs/>
          <w:kern w:val="2"/>
          <w:szCs w:val="20"/>
        </w:rPr>
        <w:t>ПРОЧИЕ ОПЕРАЦИОННЫЕ ДОХОДЫ (РАСХОДЫ)</w:t>
      </w:r>
      <w:bookmarkEnd w:id="42"/>
      <w:bookmarkEnd w:id="43"/>
      <w:bookmarkEnd w:id="44"/>
    </w:p>
    <w:tbl>
      <w:tblPr>
        <w:tblW w:w="6700" w:type="dxa"/>
        <w:jc w:val="left"/>
        <w:tblInd w:w="1" w:type="dxa"/>
        <w:tblBorders/>
        <w:tblCellMar>
          <w:top w:w="0" w:type="dxa"/>
          <w:left w:w="108" w:type="dxa"/>
          <w:bottom w:w="0" w:type="dxa"/>
          <w:right w:w="108" w:type="dxa"/>
        </w:tblCellMar>
        <w:tblLook w:firstRow="1" w:noVBand="1" w:lastRow="0" w:firstColumn="1" w:lastColumn="0" w:noHBand="0" w:val="04a0"/>
      </w:tblPr>
      <w:tblGrid>
        <w:gridCol w:w="3259"/>
        <w:gridCol w:w="1609"/>
        <w:gridCol w:w="222"/>
        <w:gridCol w:w="1609"/>
      </w:tblGrid>
      <w:tr>
        <w:trPr>
          <w:trHeight w:val="315" w:hRule="atLeast"/>
        </w:trPr>
        <w:tc>
          <w:tcPr>
            <w:tcW w:w="3259" w:type="dxa"/>
            <w:tcBorders/>
            <w:shd w:fill="auto" w:val="clear"/>
            <w:vAlign w:val="center"/>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1609"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 xml:space="preserve">                    </w:t>
            </w:r>
            <w:r>
              <w:rPr>
                <w:rFonts w:eastAsia="Times New Roman" w:ascii="Cambria" w:hAnsi="Cambria"/>
                <w:b/>
                <w:bCs/>
                <w:color w:val="000000"/>
                <w:sz w:val="18"/>
                <w:szCs w:val="18"/>
                <w:lang w:bidi="ar-SA"/>
              </w:rPr>
              <w:t>2018</w:t>
            </w:r>
          </w:p>
        </w:tc>
        <w:tc>
          <w:tcPr>
            <w:tcW w:w="222"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609"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 xml:space="preserve">  </w:t>
            </w:r>
            <w:r>
              <w:rPr>
                <w:rFonts w:eastAsia="Times New Roman" w:ascii="Cambria" w:hAnsi="Cambria"/>
                <w:b/>
                <w:bCs/>
                <w:color w:val="000000"/>
                <w:sz w:val="18"/>
                <w:szCs w:val="18"/>
                <w:lang w:bidi="ar-SA"/>
              </w:rPr>
              <w:t>2017</w:t>
            </w:r>
          </w:p>
        </w:tc>
      </w:tr>
      <w:tr>
        <w:trPr>
          <w:trHeight w:val="495" w:hRule="atLeast"/>
        </w:trPr>
        <w:tc>
          <w:tcPr>
            <w:tcW w:w="3259" w:type="dxa"/>
            <w:tcBorders/>
            <w:shd w:fill="auto" w:val="clear"/>
            <w:vAlign w:val="bottom"/>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Расходы на услуги управляющей компании</w:t>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(48 141)</w:t>
            </w:r>
          </w:p>
        </w:tc>
        <w:tc>
          <w:tcPr>
            <w:tcW w:w="222"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(44 292)</w:t>
            </w:r>
          </w:p>
        </w:tc>
      </w:tr>
      <w:tr>
        <w:trPr>
          <w:trHeight w:val="495" w:hRule="atLeast"/>
        </w:trPr>
        <w:tc>
          <w:tcPr>
            <w:tcW w:w="3259" w:type="dxa"/>
            <w:tcBorders/>
            <w:shd w:fill="auto" w:val="clear"/>
            <w:vAlign w:val="bottom"/>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Резервы по финансовым активам (начисление и восстановление)</w:t>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(4 581)</w:t>
            </w:r>
          </w:p>
        </w:tc>
        <w:tc>
          <w:tcPr>
            <w:tcW w:w="222"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w:t>
            </w:r>
          </w:p>
        </w:tc>
      </w:tr>
      <w:tr>
        <w:trPr>
          <w:trHeight w:val="300" w:hRule="atLeast"/>
        </w:trPr>
        <w:tc>
          <w:tcPr>
            <w:tcW w:w="3259" w:type="dxa"/>
            <w:tcBorders/>
            <w:shd w:fill="auto" w:val="clear"/>
            <w:vAlign w:val="bottom"/>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Штрафы, пени по договорам</w:t>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(3 433)</w:t>
            </w:r>
          </w:p>
        </w:tc>
        <w:tc>
          <w:tcPr>
            <w:tcW w:w="222"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(871)</w:t>
            </w:r>
          </w:p>
        </w:tc>
      </w:tr>
      <w:tr>
        <w:trPr>
          <w:trHeight w:val="300" w:hRule="atLeast"/>
        </w:trPr>
        <w:tc>
          <w:tcPr>
            <w:tcW w:w="3259" w:type="dxa"/>
            <w:tcBorders/>
            <w:shd w:fill="auto" w:val="clear"/>
            <w:vAlign w:val="bottom"/>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Резервы по судебным делам</w:t>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(3 278)</w:t>
            </w:r>
          </w:p>
        </w:tc>
        <w:tc>
          <w:tcPr>
            <w:tcW w:w="222"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w:t>
            </w:r>
          </w:p>
        </w:tc>
      </w:tr>
      <w:tr>
        <w:trPr>
          <w:trHeight w:val="780" w:hRule="atLeast"/>
        </w:trPr>
        <w:tc>
          <w:tcPr>
            <w:tcW w:w="3259" w:type="dxa"/>
            <w:tcBorders/>
            <w:shd w:fill="auto" w:val="clear"/>
            <w:vAlign w:val="bottom"/>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Резервы по сомнительной задолженности</w:t>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(2 541)</w:t>
            </w:r>
          </w:p>
        </w:tc>
        <w:tc>
          <w:tcPr>
            <w:tcW w:w="222"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(13 463)</w:t>
            </w:r>
          </w:p>
        </w:tc>
      </w:tr>
      <w:tr>
        <w:trPr>
          <w:trHeight w:val="315" w:hRule="atLeast"/>
        </w:trPr>
        <w:tc>
          <w:tcPr>
            <w:tcW w:w="3259" w:type="dxa"/>
            <w:tcBorders/>
            <w:shd w:fill="auto" w:val="clear"/>
            <w:vAlign w:val="bottom"/>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Доходы( расходы) от реализации основных средств</w:t>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(2 001)</w:t>
            </w:r>
          </w:p>
        </w:tc>
        <w:tc>
          <w:tcPr>
            <w:tcW w:w="222"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5 073</w:t>
            </w:r>
          </w:p>
        </w:tc>
      </w:tr>
      <w:tr>
        <w:trPr>
          <w:trHeight w:val="780" w:hRule="atLeast"/>
        </w:trPr>
        <w:tc>
          <w:tcPr>
            <w:tcW w:w="3259" w:type="dxa"/>
            <w:tcBorders/>
            <w:shd w:fill="auto" w:val="clear"/>
            <w:vAlign w:val="bottom"/>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Прочие доходы (расходы)</w:t>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(321)</w:t>
            </w:r>
          </w:p>
        </w:tc>
        <w:tc>
          <w:tcPr>
            <w:tcW w:w="222"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r>
          </w:p>
        </w:tc>
        <w:tc>
          <w:tcPr>
            <w:tcW w:w="1609" w:type="dxa"/>
            <w:tcBorders/>
            <w:shd w:fill="auto" w:val="clear"/>
            <w:vAlign w:val="bottom"/>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98</w:t>
            </w:r>
          </w:p>
        </w:tc>
      </w:tr>
      <w:tr>
        <w:trPr>
          <w:trHeight w:val="495" w:hRule="atLeast"/>
        </w:trPr>
        <w:tc>
          <w:tcPr>
            <w:tcW w:w="3259" w:type="dxa"/>
            <w:tcBorders/>
            <w:shd w:fill="auto" w:val="clear"/>
            <w:vAlign w:val="center"/>
          </w:tcPr>
          <w:p>
            <w:pPr>
              <w:pStyle w:val="Normal"/>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 xml:space="preserve"> </w:t>
            </w:r>
            <w:r>
              <w:rPr>
                <w:rFonts w:eastAsia="Times New Roman" w:cs="Calibri" w:ascii="Cambria" w:hAnsi="Cambria"/>
                <w:b/>
                <w:bCs/>
                <w:color w:val="000000"/>
                <w:sz w:val="20"/>
                <w:szCs w:val="20"/>
                <w:lang w:bidi="ar-SA"/>
              </w:rPr>
              <w:t>Прочие операционные доходы/(расходы), нетто</w:t>
            </w:r>
          </w:p>
        </w:tc>
        <w:tc>
          <w:tcPr>
            <w:tcW w:w="160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(64 295)</w:t>
            </w:r>
          </w:p>
        </w:tc>
        <w:tc>
          <w:tcPr>
            <w:tcW w:w="222" w:type="dxa"/>
            <w:tcBorders/>
            <w:shd w:fill="auto" w:val="clear"/>
            <w:vAlign w:val="bottom"/>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160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(53 455)</w:t>
            </w:r>
          </w:p>
        </w:tc>
      </w:tr>
    </w:tbl>
    <w:p>
      <w:pPr>
        <w:pStyle w:val="Normal"/>
        <w:ind w:right="134" w:hanging="0"/>
        <w:jc w:val="both"/>
        <w:rPr>
          <w:rFonts w:ascii="Cambria" w:hAnsi="Cambria" w:cs="Cambria"/>
          <w:sz w:val="20"/>
          <w:szCs w:val="20"/>
          <w:lang w:val="en-US" w:bidi="ar-SA"/>
        </w:rPr>
      </w:pPr>
      <w:r>
        <w:rPr>
          <w:rFonts w:cs="Cambria" w:ascii="Cambria" w:hAnsi="Cambria"/>
          <w:sz w:val="20"/>
          <w:szCs w:val="20"/>
          <w:lang w:val="en-US" w:bidi="ar-SA"/>
        </w:rPr>
      </w:r>
    </w:p>
    <w:p>
      <w:pPr>
        <w:pStyle w:val="Normal"/>
        <w:ind w:right="134" w:hanging="0"/>
        <w:jc w:val="both"/>
        <w:rPr>
          <w:rFonts w:ascii="Cambria" w:hAnsi="Cambria" w:cs="Cambria"/>
          <w:sz w:val="20"/>
          <w:szCs w:val="20"/>
          <w:lang w:val="en-US" w:bidi="ar-SA"/>
        </w:rPr>
      </w:pPr>
      <w:r>
        <w:rPr>
          <w:rFonts w:cs="Cambria" w:ascii="Cambria" w:hAnsi="Cambria"/>
          <w:sz w:val="20"/>
          <w:szCs w:val="20"/>
          <w:lang w:val="en-US" w:bidi="ar-SA"/>
        </w:rPr>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bookmarkStart w:id="45" w:name="_Toc511723895"/>
      <w:bookmarkStart w:id="46" w:name="_Toc484003023"/>
      <w:bookmarkStart w:id="47" w:name="_Toc483571989"/>
      <w:r>
        <w:rPr>
          <w:rFonts w:eastAsia="Times New Roman" w:cs="Arial" w:ascii="Cambria" w:hAnsi="Cambria"/>
          <w:b/>
          <w:bCs/>
          <w:kern w:val="2"/>
          <w:szCs w:val="20"/>
        </w:rPr>
        <w:t>ФИНАНСОВЫЕ ДОХОДЫ</w:t>
      </w:r>
      <w:bookmarkEnd w:id="45"/>
      <w:bookmarkEnd w:id="46"/>
      <w:bookmarkEnd w:id="47"/>
    </w:p>
    <w:p>
      <w:pPr>
        <w:pStyle w:val="ListParagraph"/>
        <w:keepLines/>
        <w:numPr>
          <w:ilvl w:val="0"/>
          <w:numId w:val="0"/>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r>
    </w:p>
    <w:tbl>
      <w:tblPr>
        <w:tblW w:w="4900" w:type="pct"/>
        <w:jc w:val="left"/>
        <w:tblInd w:w="0" w:type="dxa"/>
        <w:tblBorders/>
        <w:tblCellMar>
          <w:top w:w="0" w:type="dxa"/>
          <w:left w:w="0" w:type="dxa"/>
          <w:bottom w:w="0" w:type="dxa"/>
          <w:right w:w="0" w:type="dxa"/>
        </w:tblCellMar>
        <w:tblLook w:firstRow="1" w:noVBand="1" w:lastRow="0" w:firstColumn="1" w:lastColumn="0" w:noHBand="0" w:val="04a0"/>
      </w:tblPr>
      <w:tblGrid>
        <w:gridCol w:w="4253"/>
        <w:gridCol w:w="2524"/>
        <w:gridCol w:w="2390"/>
      </w:tblGrid>
      <w:tr>
        <w:trPr>
          <w:trHeight w:val="259" w:hRule="atLeast"/>
          <w:cantSplit w:val="true"/>
        </w:trPr>
        <w:tc>
          <w:tcPr>
            <w:tcW w:w="4253" w:type="dxa"/>
            <w:tcBorders/>
            <w:shd w:fill="auto" w:val="clear"/>
            <w:vAlign w:val="center"/>
          </w:tcPr>
          <w:p>
            <w:pPr>
              <w:pStyle w:val="Normal"/>
              <w:spacing w:lineRule="auto" w:line="228"/>
              <w:ind w:left="284" w:right="134" w:hanging="142"/>
              <w:jc w:val="center"/>
              <w:rPr>
                <w:rFonts w:ascii="Cambria" w:hAnsi="Cambria"/>
                <w:i/>
                <w:i/>
                <w:iCs/>
                <w:sz w:val="18"/>
                <w:szCs w:val="20"/>
              </w:rPr>
            </w:pPr>
            <w:r>
              <w:rPr>
                <w:rFonts w:ascii="Cambria" w:hAnsi="Cambria"/>
                <w:i/>
                <w:iCs/>
                <w:sz w:val="18"/>
                <w:szCs w:val="20"/>
              </w:rPr>
            </w:r>
          </w:p>
        </w:tc>
        <w:tc>
          <w:tcPr>
            <w:tcW w:w="2524" w:type="dxa"/>
            <w:tcBorders>
              <w:bottom w:val="single" w:sz="6" w:space="0" w:color="000000"/>
              <w:insideH w:val="single" w:sz="6" w:space="0" w:color="000000"/>
            </w:tcBorders>
            <w:shd w:fill="auto" w:val="clear"/>
            <w:vAlign w:val="center"/>
          </w:tcPr>
          <w:p>
            <w:pPr>
              <w:pStyle w:val="Normal"/>
              <w:jc w:val="center"/>
              <w:rPr>
                <w:b/>
                <w:b/>
                <w:bCs/>
                <w:color w:val="000000"/>
                <w:sz w:val="18"/>
                <w:szCs w:val="18"/>
              </w:rPr>
            </w:pPr>
            <w:r>
              <w:rPr>
                <w:b/>
                <w:bCs/>
                <w:color w:val="000000"/>
                <w:sz w:val="18"/>
                <w:szCs w:val="18"/>
              </w:rPr>
              <w:t>2018</w:t>
            </w:r>
          </w:p>
          <w:p>
            <w:pPr>
              <w:pStyle w:val="Normal"/>
              <w:spacing w:lineRule="auto" w:line="228"/>
              <w:ind w:left="-113" w:right="134" w:hanging="0"/>
              <w:jc w:val="right"/>
              <w:rPr>
                <w:rFonts w:ascii="Cambria" w:hAnsi="Cambria"/>
                <w:b/>
                <w:b/>
                <w:bCs/>
                <w:sz w:val="18"/>
                <w:szCs w:val="18"/>
              </w:rPr>
            </w:pPr>
            <w:r>
              <w:rPr>
                <w:rFonts w:ascii="Cambria" w:hAnsi="Cambria"/>
                <w:b/>
                <w:bCs/>
                <w:sz w:val="18"/>
                <w:szCs w:val="18"/>
              </w:rPr>
            </w:r>
          </w:p>
        </w:tc>
        <w:tc>
          <w:tcPr>
            <w:tcW w:w="2390" w:type="dxa"/>
            <w:tcBorders>
              <w:bottom w:val="single" w:sz="6" w:space="0" w:color="000000"/>
              <w:insideH w:val="single" w:sz="6" w:space="0" w:color="000000"/>
            </w:tcBorders>
            <w:shd w:fill="auto" w:val="clear"/>
            <w:vAlign w:val="center"/>
          </w:tcPr>
          <w:p>
            <w:pPr>
              <w:pStyle w:val="Normal"/>
              <w:jc w:val="center"/>
              <w:rPr>
                <w:b/>
                <w:b/>
                <w:bCs/>
                <w:color w:val="000000"/>
                <w:sz w:val="18"/>
                <w:szCs w:val="18"/>
              </w:rPr>
            </w:pPr>
            <w:r>
              <w:rPr>
                <w:b/>
                <w:bCs/>
                <w:color w:val="000000"/>
                <w:sz w:val="18"/>
                <w:szCs w:val="18"/>
              </w:rPr>
              <w:t>2017</w:t>
            </w:r>
          </w:p>
          <w:p>
            <w:pPr>
              <w:pStyle w:val="Normal"/>
              <w:spacing w:lineRule="auto" w:line="228"/>
              <w:ind w:left="-113" w:right="134" w:hanging="0"/>
              <w:jc w:val="right"/>
              <w:rPr>
                <w:rFonts w:ascii="Cambria" w:hAnsi="Cambria"/>
                <w:b/>
                <w:b/>
                <w:bCs/>
                <w:sz w:val="18"/>
                <w:szCs w:val="18"/>
              </w:rPr>
            </w:pPr>
            <w:r>
              <w:rPr>
                <w:rFonts w:ascii="Cambria" w:hAnsi="Cambria"/>
                <w:b/>
                <w:bCs/>
                <w:sz w:val="18"/>
                <w:szCs w:val="18"/>
              </w:rPr>
            </w:r>
          </w:p>
        </w:tc>
      </w:tr>
      <w:tr>
        <w:trPr>
          <w:trHeight w:val="20" w:hRule="atLeast"/>
          <w:cantSplit w:val="true"/>
        </w:trPr>
        <w:tc>
          <w:tcPr>
            <w:tcW w:w="4253" w:type="dxa"/>
            <w:tcBorders/>
            <w:shd w:fill="auto" w:val="clear"/>
            <w:vAlign w:val="bottom"/>
          </w:tcPr>
          <w:p>
            <w:pPr>
              <w:pStyle w:val="Normal"/>
              <w:ind w:right="134" w:hanging="0"/>
              <w:jc w:val="both"/>
              <w:rPr>
                <w:rFonts w:ascii="Cambria" w:hAnsi="Cambria"/>
                <w:sz w:val="18"/>
                <w:szCs w:val="20"/>
                <w:lang w:val="en-GB" w:eastAsia="en-GB" w:bidi="ar-SA"/>
              </w:rPr>
            </w:pPr>
            <w:r>
              <w:rPr>
                <w:rFonts w:ascii="Cambria" w:hAnsi="Cambria"/>
                <w:sz w:val="18"/>
                <w:szCs w:val="20"/>
              </w:rPr>
              <w:t>Проценты к получению</w:t>
            </w:r>
          </w:p>
        </w:tc>
        <w:tc>
          <w:tcPr>
            <w:tcW w:w="2524" w:type="dxa"/>
            <w:tcBorders>
              <w:top w:val="single" w:sz="6" w:space="0" w:color="000000"/>
            </w:tcBorders>
            <w:shd w:fill="auto" w:val="clear"/>
            <w:vAlign w:val="center"/>
          </w:tcPr>
          <w:p>
            <w:pPr>
              <w:pStyle w:val="Normal"/>
              <w:ind w:right="134" w:hanging="0"/>
              <w:jc w:val="right"/>
              <w:rPr>
                <w:rFonts w:ascii="Cambria" w:hAnsi="Cambria" w:eastAsia="Times New Roman" w:cs="Arial"/>
                <w:sz w:val="18"/>
                <w:szCs w:val="18"/>
              </w:rPr>
            </w:pPr>
            <w:r>
              <w:rPr>
                <w:rFonts w:eastAsia="Times New Roman" w:cs="Arial" w:ascii="Cambria" w:hAnsi="Cambria"/>
                <w:sz w:val="18"/>
                <w:szCs w:val="18"/>
              </w:rPr>
              <w:t>2 564</w:t>
            </w:r>
          </w:p>
        </w:tc>
        <w:tc>
          <w:tcPr>
            <w:tcW w:w="2390" w:type="dxa"/>
            <w:tcBorders>
              <w:top w:val="single" w:sz="6" w:space="0" w:color="000000"/>
            </w:tcBorders>
            <w:shd w:fill="auto" w:val="clear"/>
            <w:vAlign w:val="center"/>
          </w:tcPr>
          <w:p>
            <w:pPr>
              <w:pStyle w:val="Normal"/>
              <w:ind w:right="134" w:hanging="0"/>
              <w:jc w:val="right"/>
              <w:rPr>
                <w:rFonts w:ascii="Cambria" w:hAnsi="Cambria" w:eastAsia="Times New Roman" w:cs="Arial"/>
                <w:sz w:val="18"/>
                <w:szCs w:val="18"/>
              </w:rPr>
            </w:pPr>
            <w:r>
              <w:rPr>
                <w:rFonts w:eastAsia="Times New Roman" w:cs="Arial" w:ascii="Cambria" w:hAnsi="Cambria"/>
                <w:sz w:val="18"/>
                <w:szCs w:val="18"/>
              </w:rPr>
              <w:t>10 108</w:t>
            </w:r>
          </w:p>
        </w:tc>
      </w:tr>
      <w:tr>
        <w:trPr>
          <w:trHeight w:val="20" w:hRule="atLeast"/>
          <w:cantSplit w:val="true"/>
        </w:trPr>
        <w:tc>
          <w:tcPr>
            <w:tcW w:w="4253" w:type="dxa"/>
            <w:tcBorders/>
            <w:shd w:fill="auto" w:val="clear"/>
            <w:vAlign w:val="bottom"/>
          </w:tcPr>
          <w:p>
            <w:pPr>
              <w:pStyle w:val="Normal"/>
              <w:ind w:right="134" w:hanging="0"/>
              <w:jc w:val="both"/>
              <w:rPr>
                <w:rFonts w:ascii="Cambria" w:hAnsi="Cambria"/>
                <w:sz w:val="18"/>
                <w:szCs w:val="20"/>
              </w:rPr>
            </w:pPr>
            <w:r>
              <w:rPr>
                <w:rFonts w:ascii="Cambria" w:hAnsi="Cambria"/>
                <w:sz w:val="18"/>
                <w:szCs w:val="20"/>
              </w:rPr>
            </w:r>
          </w:p>
        </w:tc>
        <w:tc>
          <w:tcPr>
            <w:tcW w:w="2524" w:type="dxa"/>
            <w:tcBorders/>
            <w:shd w:fill="auto" w:val="clear"/>
            <w:vAlign w:val="center"/>
          </w:tcPr>
          <w:p>
            <w:pPr>
              <w:pStyle w:val="Normal"/>
              <w:ind w:right="134" w:hanging="0"/>
              <w:jc w:val="right"/>
              <w:rPr>
                <w:rFonts w:ascii="Cambria" w:hAnsi="Cambria" w:eastAsia="Times New Roman" w:cs="Arial"/>
                <w:sz w:val="18"/>
                <w:szCs w:val="18"/>
              </w:rPr>
            </w:pPr>
            <w:r>
              <w:rPr>
                <w:rFonts w:eastAsia="Times New Roman" w:cs="Arial" w:ascii="Cambria" w:hAnsi="Cambria"/>
                <w:sz w:val="18"/>
                <w:szCs w:val="18"/>
              </w:rPr>
            </w:r>
          </w:p>
        </w:tc>
        <w:tc>
          <w:tcPr>
            <w:tcW w:w="2390" w:type="dxa"/>
            <w:tcBorders/>
            <w:shd w:fill="auto" w:val="clear"/>
            <w:vAlign w:val="center"/>
          </w:tcPr>
          <w:p>
            <w:pPr>
              <w:pStyle w:val="Normal"/>
              <w:ind w:right="134" w:hanging="0"/>
              <w:jc w:val="right"/>
              <w:rPr>
                <w:rFonts w:ascii="Cambria" w:hAnsi="Cambria" w:eastAsia="Times New Roman" w:cs="Arial"/>
                <w:sz w:val="18"/>
                <w:szCs w:val="18"/>
              </w:rPr>
            </w:pPr>
            <w:r>
              <w:rPr>
                <w:rFonts w:eastAsia="Times New Roman" w:cs="Arial" w:ascii="Cambria" w:hAnsi="Cambria"/>
                <w:sz w:val="18"/>
                <w:szCs w:val="18"/>
              </w:rPr>
            </w:r>
          </w:p>
        </w:tc>
      </w:tr>
      <w:tr>
        <w:trPr>
          <w:trHeight w:val="20" w:hRule="atLeast"/>
          <w:cantSplit w:val="true"/>
        </w:trPr>
        <w:tc>
          <w:tcPr>
            <w:tcW w:w="4253" w:type="dxa"/>
            <w:tcBorders/>
            <w:shd w:fill="auto" w:val="clear"/>
            <w:vAlign w:val="bottom"/>
          </w:tcPr>
          <w:p>
            <w:pPr>
              <w:pStyle w:val="Normal"/>
              <w:spacing w:lineRule="auto" w:line="228"/>
              <w:ind w:left="284" w:right="134" w:hanging="284"/>
              <w:jc w:val="both"/>
              <w:rPr>
                <w:rFonts w:ascii="Cambria" w:hAnsi="Cambria"/>
                <w:b/>
                <w:b/>
                <w:sz w:val="18"/>
                <w:szCs w:val="20"/>
              </w:rPr>
            </w:pPr>
            <w:r>
              <w:rPr>
                <w:rFonts w:ascii="Cambria" w:hAnsi="Cambria"/>
                <w:b/>
                <w:sz w:val="18"/>
                <w:szCs w:val="20"/>
              </w:rPr>
              <w:t>Итого</w:t>
            </w:r>
          </w:p>
        </w:tc>
        <w:tc>
          <w:tcPr>
            <w:tcW w:w="2524" w:type="dxa"/>
            <w:tcBorders>
              <w:top w:val="single" w:sz="6" w:space="0" w:color="000000"/>
              <w:bottom w:val="double" w:sz="6" w:space="0" w:color="000000"/>
              <w:insideH w:val="double" w:sz="6" w:space="0" w:color="000000"/>
            </w:tcBorders>
            <w:shd w:fill="auto" w:val="clear"/>
            <w:vAlign w:val="center"/>
          </w:tcPr>
          <w:p>
            <w:pPr>
              <w:pStyle w:val="Normal"/>
              <w:ind w:right="134" w:hanging="0"/>
              <w:jc w:val="right"/>
              <w:rPr>
                <w:rFonts w:ascii="Cambria" w:hAnsi="Cambria"/>
                <w:b/>
                <w:b/>
                <w:bCs/>
                <w:sz w:val="18"/>
                <w:szCs w:val="18"/>
              </w:rPr>
            </w:pPr>
            <w:r>
              <w:rPr>
                <w:b/>
                <w:bCs/>
                <w:color w:val="000000"/>
                <w:sz w:val="18"/>
                <w:szCs w:val="18"/>
              </w:rPr>
              <w:t>2 564</w:t>
            </w:r>
          </w:p>
        </w:tc>
        <w:tc>
          <w:tcPr>
            <w:tcW w:w="2390" w:type="dxa"/>
            <w:tcBorders>
              <w:top w:val="single" w:sz="6" w:space="0" w:color="000000"/>
              <w:bottom w:val="double" w:sz="6" w:space="0" w:color="000000"/>
              <w:insideH w:val="double" w:sz="6" w:space="0" w:color="000000"/>
            </w:tcBorders>
            <w:shd w:fill="auto" w:val="clear"/>
            <w:vAlign w:val="center"/>
          </w:tcPr>
          <w:p>
            <w:pPr>
              <w:pStyle w:val="Normal"/>
              <w:ind w:right="134" w:hanging="0"/>
              <w:jc w:val="right"/>
              <w:rPr>
                <w:rFonts w:ascii="Cambria" w:hAnsi="Cambria"/>
                <w:b/>
                <w:b/>
                <w:bCs/>
                <w:sz w:val="18"/>
                <w:szCs w:val="18"/>
              </w:rPr>
            </w:pPr>
            <w:r>
              <w:rPr>
                <w:rFonts w:ascii="Cambria" w:hAnsi="Cambria"/>
                <w:b/>
                <w:bCs/>
                <w:sz w:val="18"/>
                <w:szCs w:val="18"/>
              </w:rPr>
              <w:t>10 108</w:t>
            </w:r>
          </w:p>
        </w:tc>
      </w:tr>
    </w:tbl>
    <w:p>
      <w:pPr>
        <w:pStyle w:val="ListParagraph"/>
        <w:keepLines/>
        <w:numPr>
          <w:ilvl w:val="0"/>
          <w:numId w:val="0"/>
        </w:numPr>
        <w:spacing w:before="120" w:after="120"/>
        <w:ind w:left="0" w:right="134" w:hanging="0"/>
        <w:jc w:val="both"/>
        <w:outlineLvl w:val="0"/>
        <w:rPr>
          <w:rFonts w:ascii="Cambria" w:hAnsi="Cambria" w:eastAsia="Times New Roman" w:cs="Arial"/>
          <w:b/>
          <w:b/>
          <w:bCs/>
          <w:kern w:val="2"/>
          <w:sz w:val="20"/>
          <w:szCs w:val="20"/>
        </w:rPr>
      </w:pPr>
      <w:r>
        <w:rPr>
          <w:rFonts w:eastAsia="Times New Roman" w:cs="Arial" w:ascii="Cambria" w:hAnsi="Cambria"/>
          <w:b/>
          <w:bCs/>
          <w:kern w:val="2"/>
          <w:sz w:val="20"/>
          <w:szCs w:val="20"/>
        </w:rPr>
      </w:r>
      <w:bookmarkStart w:id="48" w:name="_Toc467083468"/>
      <w:bookmarkStart w:id="49" w:name="_Toc467083467"/>
      <w:bookmarkStart w:id="50" w:name="_Toc467083468"/>
      <w:bookmarkStart w:id="51" w:name="_Toc467083467"/>
      <w:bookmarkEnd w:id="50"/>
      <w:bookmarkEnd w:id="51"/>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bookmarkStart w:id="52" w:name="_Toc511723896"/>
      <w:bookmarkStart w:id="53" w:name="_Toc484003024"/>
      <w:r>
        <w:rPr>
          <w:rFonts w:eastAsia="Times New Roman" w:cs="Arial" w:ascii="Cambria" w:hAnsi="Cambria"/>
          <w:b/>
          <w:bCs/>
          <w:kern w:val="2"/>
          <w:szCs w:val="20"/>
        </w:rPr>
        <w:t>ФИНАНСОВЫЕ РАСХОДЫ</w:t>
      </w:r>
      <w:bookmarkEnd w:id="52"/>
      <w:bookmarkEnd w:id="53"/>
    </w:p>
    <w:tbl>
      <w:tblPr>
        <w:tblW w:w="4900" w:type="pct"/>
        <w:jc w:val="left"/>
        <w:tblInd w:w="0" w:type="dxa"/>
        <w:tblBorders/>
        <w:tblCellMar>
          <w:top w:w="0" w:type="dxa"/>
          <w:left w:w="0" w:type="dxa"/>
          <w:bottom w:w="0" w:type="dxa"/>
          <w:right w:w="0" w:type="dxa"/>
        </w:tblCellMar>
        <w:tblLook w:firstRow="1" w:noVBand="1" w:lastRow="0" w:firstColumn="1" w:lastColumn="0" w:noHBand="0" w:val="04a0"/>
      </w:tblPr>
      <w:tblGrid>
        <w:gridCol w:w="4251"/>
        <w:gridCol w:w="2525"/>
        <w:gridCol w:w="2391"/>
      </w:tblGrid>
      <w:tr>
        <w:trPr>
          <w:trHeight w:val="231" w:hRule="atLeast"/>
          <w:cantSplit w:val="true"/>
        </w:trPr>
        <w:tc>
          <w:tcPr>
            <w:tcW w:w="4251" w:type="dxa"/>
            <w:tcBorders/>
            <w:shd w:fill="auto" w:val="clear"/>
            <w:vAlign w:val="center"/>
          </w:tcPr>
          <w:p>
            <w:pPr>
              <w:pStyle w:val="Normal"/>
              <w:ind w:right="134" w:hanging="0"/>
              <w:jc w:val="center"/>
              <w:rPr>
                <w:rFonts w:ascii="Cambria" w:hAnsi="Cambria"/>
                <w:sz w:val="18"/>
                <w:szCs w:val="20"/>
                <w:lang w:val="en-GB" w:eastAsia="en-GB" w:bidi="ar-SA"/>
              </w:rPr>
            </w:pPr>
            <w:r>
              <w:rPr>
                <w:rFonts w:ascii="Cambria" w:hAnsi="Cambria"/>
                <w:sz w:val="18"/>
                <w:szCs w:val="20"/>
                <w:lang w:val="en-GB" w:eastAsia="en-GB" w:bidi="ar-SA"/>
              </w:rPr>
            </w:r>
          </w:p>
        </w:tc>
        <w:tc>
          <w:tcPr>
            <w:tcW w:w="2525" w:type="dxa"/>
            <w:tcBorders>
              <w:bottom w:val="single" w:sz="4" w:space="0" w:color="000000"/>
              <w:insideH w:val="single" w:sz="4" w:space="0" w:color="000000"/>
            </w:tcBorders>
            <w:shd w:fill="auto" w:val="clear"/>
            <w:vAlign w:val="center"/>
          </w:tcPr>
          <w:p>
            <w:pPr>
              <w:pStyle w:val="Normal"/>
              <w:jc w:val="center"/>
              <w:rPr>
                <w:b/>
                <w:b/>
                <w:bCs/>
                <w:color w:val="000000"/>
                <w:sz w:val="18"/>
                <w:szCs w:val="18"/>
              </w:rPr>
            </w:pPr>
            <w:r>
              <w:rPr>
                <w:b/>
                <w:bCs/>
                <w:color w:val="000000"/>
                <w:sz w:val="18"/>
                <w:szCs w:val="18"/>
              </w:rPr>
              <w:t>2018</w:t>
            </w:r>
          </w:p>
          <w:p>
            <w:pPr>
              <w:pStyle w:val="Normal"/>
              <w:spacing w:lineRule="auto" w:line="228"/>
              <w:ind w:left="-113" w:right="134" w:hanging="0"/>
              <w:jc w:val="right"/>
              <w:rPr>
                <w:rFonts w:ascii="Cambria" w:hAnsi="Cambria"/>
                <w:b/>
                <w:b/>
                <w:bCs/>
                <w:sz w:val="18"/>
                <w:szCs w:val="18"/>
              </w:rPr>
            </w:pPr>
            <w:r>
              <w:rPr>
                <w:rFonts w:ascii="Cambria" w:hAnsi="Cambria"/>
                <w:b/>
                <w:bCs/>
                <w:sz w:val="18"/>
                <w:szCs w:val="18"/>
              </w:rPr>
            </w:r>
          </w:p>
        </w:tc>
        <w:tc>
          <w:tcPr>
            <w:tcW w:w="2391" w:type="dxa"/>
            <w:tcBorders>
              <w:bottom w:val="single" w:sz="4" w:space="0" w:color="000000"/>
              <w:insideH w:val="single" w:sz="4" w:space="0" w:color="000000"/>
            </w:tcBorders>
            <w:shd w:fill="auto" w:val="clear"/>
            <w:vAlign w:val="center"/>
          </w:tcPr>
          <w:p>
            <w:pPr>
              <w:pStyle w:val="Normal"/>
              <w:jc w:val="center"/>
              <w:rPr>
                <w:b/>
                <w:b/>
                <w:bCs/>
                <w:color w:val="000000"/>
                <w:sz w:val="18"/>
                <w:szCs w:val="18"/>
              </w:rPr>
            </w:pPr>
            <w:r>
              <w:rPr>
                <w:b/>
                <w:bCs/>
                <w:color w:val="000000"/>
                <w:sz w:val="18"/>
                <w:szCs w:val="18"/>
              </w:rPr>
              <w:t>2017</w:t>
            </w:r>
          </w:p>
          <w:p>
            <w:pPr>
              <w:pStyle w:val="Normal"/>
              <w:spacing w:lineRule="auto" w:line="228"/>
              <w:ind w:left="-113" w:right="134" w:hanging="0"/>
              <w:jc w:val="right"/>
              <w:rPr>
                <w:rFonts w:ascii="Cambria" w:hAnsi="Cambria"/>
                <w:b/>
                <w:b/>
                <w:bCs/>
                <w:sz w:val="18"/>
                <w:szCs w:val="18"/>
              </w:rPr>
            </w:pPr>
            <w:r>
              <w:rPr>
                <w:rFonts w:ascii="Cambria" w:hAnsi="Cambria"/>
                <w:b/>
                <w:bCs/>
                <w:sz w:val="18"/>
                <w:szCs w:val="18"/>
              </w:rPr>
            </w:r>
          </w:p>
        </w:tc>
      </w:tr>
      <w:tr>
        <w:trPr>
          <w:trHeight w:val="20" w:hRule="atLeast"/>
          <w:cantSplit w:val="true"/>
        </w:trPr>
        <w:tc>
          <w:tcPr>
            <w:tcW w:w="4251" w:type="dxa"/>
            <w:tcBorders/>
            <w:shd w:fill="auto" w:val="clear"/>
            <w:vAlign w:val="bottom"/>
          </w:tcPr>
          <w:p>
            <w:pPr>
              <w:pStyle w:val="Normal"/>
              <w:ind w:right="134" w:hanging="0"/>
              <w:jc w:val="both"/>
              <w:rPr>
                <w:rFonts w:ascii="Cambria" w:hAnsi="Cambria"/>
                <w:sz w:val="18"/>
                <w:szCs w:val="20"/>
              </w:rPr>
            </w:pPr>
            <w:r>
              <w:rPr>
                <w:rFonts w:ascii="Cambria" w:hAnsi="Cambria"/>
                <w:sz w:val="18"/>
                <w:szCs w:val="20"/>
              </w:rPr>
              <w:t>Процентные расходы</w:t>
            </w:r>
          </w:p>
        </w:tc>
        <w:tc>
          <w:tcPr>
            <w:tcW w:w="2525" w:type="dxa"/>
            <w:tcBorders>
              <w:top w:val="single" w:sz="4" w:space="0" w:color="000000"/>
            </w:tcBorders>
            <w:shd w:fill="auto" w:val="clear"/>
            <w:vAlign w:val="center"/>
          </w:tcPr>
          <w:p>
            <w:pPr>
              <w:pStyle w:val="Normal"/>
              <w:ind w:right="134" w:hanging="0"/>
              <w:jc w:val="right"/>
              <w:rPr>
                <w:rFonts w:ascii="Cambria" w:hAnsi="Cambria"/>
                <w:sz w:val="18"/>
                <w:szCs w:val="18"/>
                <w:lang w:val="en-GB" w:eastAsia="en-GB" w:bidi="ar-SA"/>
              </w:rPr>
            </w:pPr>
            <w:r>
              <w:rPr>
                <w:rFonts w:cs="Calibri" w:ascii="Cambria" w:hAnsi="Cambria"/>
                <w:color w:val="000000"/>
                <w:sz w:val="18"/>
                <w:szCs w:val="18"/>
              </w:rPr>
              <w:t xml:space="preserve">                       </w:t>
            </w:r>
            <w:r>
              <w:rPr>
                <w:rFonts w:cs="Calibri" w:ascii="Cambria" w:hAnsi="Cambria"/>
                <w:color w:val="000000"/>
                <w:sz w:val="18"/>
                <w:szCs w:val="18"/>
              </w:rPr>
              <w:t xml:space="preserve">1 749 </w:t>
            </w:r>
          </w:p>
        </w:tc>
        <w:tc>
          <w:tcPr>
            <w:tcW w:w="2391" w:type="dxa"/>
            <w:tcBorders>
              <w:top w:val="single" w:sz="4" w:space="0" w:color="000000"/>
            </w:tcBorders>
            <w:shd w:fill="auto" w:val="clear"/>
            <w:vAlign w:val="center"/>
          </w:tcPr>
          <w:p>
            <w:pPr>
              <w:pStyle w:val="Normal"/>
              <w:ind w:right="134" w:hanging="0"/>
              <w:jc w:val="right"/>
              <w:rPr>
                <w:rFonts w:ascii="Cambria" w:hAnsi="Cambria"/>
                <w:sz w:val="18"/>
                <w:szCs w:val="18"/>
                <w:lang w:val="en-GB" w:eastAsia="en-GB" w:bidi="ar-SA"/>
              </w:rPr>
            </w:pPr>
            <w:r>
              <w:rPr>
                <w:rFonts w:cs="Calibri" w:ascii="Cambria" w:hAnsi="Cambria"/>
                <w:color w:val="000000"/>
                <w:sz w:val="18"/>
                <w:szCs w:val="18"/>
              </w:rPr>
              <w:t xml:space="preserve">                       </w:t>
            </w:r>
            <w:r>
              <w:rPr>
                <w:rFonts w:cs="Calibri" w:ascii="Cambria" w:hAnsi="Cambria"/>
                <w:color w:val="000000"/>
                <w:sz w:val="18"/>
                <w:szCs w:val="18"/>
              </w:rPr>
              <w:t xml:space="preserve">4 527 </w:t>
            </w:r>
          </w:p>
        </w:tc>
      </w:tr>
      <w:tr>
        <w:trPr>
          <w:trHeight w:val="20" w:hRule="atLeast"/>
          <w:cantSplit w:val="true"/>
        </w:trPr>
        <w:tc>
          <w:tcPr>
            <w:tcW w:w="4251" w:type="dxa"/>
            <w:tcBorders/>
            <w:shd w:fill="auto" w:val="clear"/>
            <w:vAlign w:val="bottom"/>
          </w:tcPr>
          <w:p>
            <w:pPr>
              <w:pStyle w:val="Normal"/>
              <w:ind w:right="134" w:hanging="0"/>
              <w:jc w:val="both"/>
              <w:rPr>
                <w:rFonts w:ascii="Cambria" w:hAnsi="Cambria"/>
                <w:sz w:val="18"/>
                <w:szCs w:val="20"/>
              </w:rPr>
            </w:pPr>
            <w:r>
              <w:rPr>
                <w:rFonts w:ascii="Cambria" w:hAnsi="Cambria"/>
                <w:sz w:val="18"/>
                <w:szCs w:val="20"/>
              </w:rPr>
              <w:t>Расходы по финансовой аренде</w:t>
            </w:r>
          </w:p>
        </w:tc>
        <w:tc>
          <w:tcPr>
            <w:tcW w:w="2525" w:type="dxa"/>
            <w:tcBorders>
              <w:bottom w:val="single" w:sz="4" w:space="0" w:color="000000"/>
              <w:insideH w:val="single" w:sz="4" w:space="0" w:color="000000"/>
            </w:tcBorders>
            <w:shd w:fill="auto" w:val="clear"/>
            <w:vAlign w:val="center"/>
          </w:tcPr>
          <w:p>
            <w:pPr>
              <w:pStyle w:val="Normal"/>
              <w:ind w:right="134" w:hanging="0"/>
              <w:jc w:val="right"/>
              <w:rPr>
                <w:rFonts w:ascii="Cambria" w:hAnsi="Cambria"/>
                <w:sz w:val="18"/>
                <w:szCs w:val="18"/>
              </w:rPr>
            </w:pPr>
            <w:r>
              <w:rPr>
                <w:rFonts w:cs="Calibri" w:ascii="Cambria" w:hAnsi="Cambria"/>
                <w:color w:val="000000"/>
                <w:sz w:val="18"/>
                <w:szCs w:val="18"/>
              </w:rPr>
              <w:t xml:space="preserve">                          </w:t>
            </w:r>
            <w:r>
              <w:rPr>
                <w:rFonts w:cs="Calibri" w:ascii="Cambria" w:hAnsi="Cambria"/>
                <w:color w:val="000000"/>
                <w:sz w:val="18"/>
                <w:szCs w:val="18"/>
              </w:rPr>
              <w:t xml:space="preserve">194 </w:t>
            </w:r>
          </w:p>
        </w:tc>
        <w:tc>
          <w:tcPr>
            <w:tcW w:w="2391" w:type="dxa"/>
            <w:tcBorders>
              <w:bottom w:val="single" w:sz="4" w:space="0" w:color="000000"/>
              <w:insideH w:val="single" w:sz="4" w:space="0" w:color="000000"/>
            </w:tcBorders>
            <w:shd w:fill="auto" w:val="clear"/>
            <w:vAlign w:val="center"/>
          </w:tcPr>
          <w:p>
            <w:pPr>
              <w:pStyle w:val="Normal"/>
              <w:ind w:right="134" w:hanging="0"/>
              <w:jc w:val="right"/>
              <w:rPr>
                <w:rFonts w:ascii="Cambria" w:hAnsi="Cambria"/>
                <w:sz w:val="18"/>
                <w:szCs w:val="18"/>
              </w:rPr>
            </w:pPr>
            <w:r>
              <w:rPr>
                <w:rFonts w:cs="Calibri" w:ascii="Cambria" w:hAnsi="Cambria"/>
                <w:color w:val="000000"/>
                <w:sz w:val="18"/>
                <w:szCs w:val="18"/>
              </w:rPr>
              <w:t xml:space="preserve">                       </w:t>
            </w:r>
            <w:r>
              <w:rPr>
                <w:rFonts w:cs="Calibri" w:ascii="Cambria" w:hAnsi="Cambria"/>
                <w:color w:val="000000"/>
                <w:sz w:val="18"/>
                <w:szCs w:val="18"/>
              </w:rPr>
              <w:t xml:space="preserve">2 565 </w:t>
            </w:r>
          </w:p>
        </w:tc>
      </w:tr>
      <w:tr>
        <w:trPr>
          <w:trHeight w:val="20" w:hRule="atLeast"/>
          <w:cantSplit w:val="true"/>
        </w:trPr>
        <w:tc>
          <w:tcPr>
            <w:tcW w:w="4251" w:type="dxa"/>
            <w:tcBorders/>
            <w:shd w:fill="auto" w:val="clear"/>
            <w:vAlign w:val="bottom"/>
          </w:tcPr>
          <w:p>
            <w:pPr>
              <w:pStyle w:val="Normal"/>
              <w:ind w:right="134" w:hanging="0"/>
              <w:jc w:val="both"/>
              <w:rPr>
                <w:rFonts w:ascii="Cambria" w:hAnsi="Cambria"/>
                <w:sz w:val="18"/>
                <w:szCs w:val="20"/>
              </w:rPr>
            </w:pPr>
            <w:r>
              <w:rPr>
                <w:rFonts w:ascii="Cambria" w:hAnsi="Cambria"/>
                <w:b/>
                <w:sz w:val="18"/>
                <w:szCs w:val="20"/>
              </w:rPr>
              <w:t>Итого</w:t>
            </w:r>
          </w:p>
        </w:tc>
        <w:tc>
          <w:tcPr>
            <w:tcW w:w="2525" w:type="dxa"/>
            <w:tcBorders>
              <w:top w:val="single" w:sz="4" w:space="0" w:color="000000"/>
              <w:bottom w:val="double" w:sz="4" w:space="0" w:color="000000"/>
              <w:insideH w:val="double" w:sz="4" w:space="0" w:color="000000"/>
            </w:tcBorders>
            <w:shd w:fill="auto" w:val="clear"/>
            <w:vAlign w:val="center"/>
          </w:tcPr>
          <w:p>
            <w:pPr>
              <w:pStyle w:val="Normal"/>
              <w:ind w:right="134" w:hanging="0"/>
              <w:jc w:val="right"/>
              <w:rPr>
                <w:rFonts w:ascii="Cambria" w:hAnsi="Cambria"/>
                <w:sz w:val="18"/>
                <w:szCs w:val="18"/>
              </w:rPr>
            </w:pPr>
            <w:r>
              <w:rPr>
                <w:rFonts w:ascii="Cambria" w:hAnsi="Cambria"/>
                <w:b/>
                <w:bCs/>
                <w:color w:val="000000"/>
                <w:sz w:val="18"/>
                <w:szCs w:val="18"/>
              </w:rPr>
              <w:t xml:space="preserve">                        </w:t>
            </w:r>
            <w:r>
              <w:rPr>
                <w:rFonts w:ascii="Cambria" w:hAnsi="Cambria"/>
                <w:b/>
                <w:bCs/>
                <w:color w:val="000000"/>
                <w:sz w:val="18"/>
                <w:szCs w:val="18"/>
              </w:rPr>
              <w:t xml:space="preserve">1 943 </w:t>
            </w:r>
          </w:p>
        </w:tc>
        <w:tc>
          <w:tcPr>
            <w:tcW w:w="2391" w:type="dxa"/>
            <w:tcBorders>
              <w:top w:val="single" w:sz="4" w:space="0" w:color="000000"/>
              <w:bottom w:val="double" w:sz="4" w:space="0" w:color="000000"/>
              <w:insideH w:val="double" w:sz="4" w:space="0" w:color="000000"/>
            </w:tcBorders>
            <w:shd w:fill="auto" w:val="clear"/>
            <w:vAlign w:val="center"/>
          </w:tcPr>
          <w:p>
            <w:pPr>
              <w:pStyle w:val="Normal"/>
              <w:ind w:right="134" w:hanging="0"/>
              <w:jc w:val="right"/>
              <w:rPr>
                <w:rFonts w:ascii="Cambria" w:hAnsi="Cambria"/>
                <w:sz w:val="18"/>
                <w:szCs w:val="18"/>
              </w:rPr>
            </w:pPr>
            <w:r>
              <w:rPr>
                <w:rFonts w:ascii="Cambria" w:hAnsi="Cambria"/>
                <w:b/>
                <w:bCs/>
                <w:color w:val="000000"/>
                <w:sz w:val="18"/>
                <w:szCs w:val="18"/>
              </w:rPr>
              <w:t xml:space="preserve">                        </w:t>
            </w:r>
            <w:r>
              <w:rPr>
                <w:rFonts w:ascii="Cambria" w:hAnsi="Cambria"/>
                <w:b/>
                <w:bCs/>
                <w:color w:val="000000"/>
                <w:sz w:val="18"/>
                <w:szCs w:val="18"/>
              </w:rPr>
              <w:t xml:space="preserve">7 092 </w:t>
            </w:r>
          </w:p>
        </w:tc>
      </w:tr>
    </w:tbl>
    <w:p>
      <w:pPr>
        <w:pStyle w:val="Normal"/>
        <w:spacing w:before="120" w:after="120"/>
        <w:ind w:right="136" w:hanging="0"/>
        <w:rPr>
          <w:rFonts w:ascii="Cambria" w:hAnsi="Cambria" w:cs="Cambria"/>
          <w:highlight w:val="yellow"/>
          <w:lang w:bidi="ar-SA"/>
        </w:rPr>
      </w:pPr>
      <w:r>
        <w:rPr>
          <w:rFonts w:cs="Cambria" w:ascii="Cambria" w:hAnsi="Cambria"/>
          <w:highlight w:val="yellow"/>
          <w:lang w:bidi="ar-SA"/>
        </w:rPr>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r>
        <w:rPr>
          <w:rFonts w:eastAsia="Times New Roman" w:cs="Arial" w:ascii="Cambria" w:hAnsi="Cambria"/>
          <w:b/>
          <w:bCs/>
          <w:kern w:val="2"/>
          <w:szCs w:val="20"/>
        </w:rPr>
        <w:t>УПРАВЛЕНИЕ ФИНАНСОВЫМИ РИСКАМИ</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 xml:space="preserve">В состав основных финансовых обязательств Группы входят банковские кредиты, а также торговая и прочая кредиторская задолженность. Указанные финансовые инструменты, главным образом, используются для финансирования операционной деятельности Группы. Группа имеет ряд финансовых активов (таких как торговая дебиторская задолженность, наличные денежные средства и краткосрочные депозиты), возникающих непосредственно в результате хозяйственной деятельности Группы. В течение отчётного года Группа не осуществляла торговых операций с финансовыми инструментами. К числу основных рисков, связанных с финансовыми инструментами Группы, относятся риск изменения процентной ставки применительно к движению денежных средств, кредитный и валютный риски, а также риск ликвидности. </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Группа стремится минимизировать возможное отрицательное влияние существенных факторов риска на своё финансовое положение путём применения разумной стратегии управления финансовыми рисками. Руководство Группы анализирует и утверждает принципы управления каждым из рисков, перечисленных ниже.</w:t>
      </w:r>
    </w:p>
    <w:p>
      <w:pPr>
        <w:pStyle w:val="Normal"/>
        <w:spacing w:before="120" w:after="120"/>
        <w:ind w:right="134" w:hanging="0"/>
        <w:jc w:val="both"/>
        <w:rPr>
          <w:rFonts w:ascii="Cambria" w:hAnsi="Cambria" w:eastAsia="Times New Roman" w:cs="Arial"/>
          <w:b/>
          <w:b/>
          <w:sz w:val="20"/>
          <w:szCs w:val="20"/>
        </w:rPr>
      </w:pPr>
      <w:r>
        <w:rPr>
          <w:rFonts w:eastAsia="Times New Roman" w:cs="Arial" w:ascii="Cambria" w:hAnsi="Cambria"/>
          <w:b/>
          <w:sz w:val="20"/>
          <w:szCs w:val="20"/>
        </w:rPr>
        <w:t>Риск изменения процентных ставок</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Группа осуществляет мониторинг процентных ставок в отношении своих финансовых обязательств. При привлечении новых кредитов или займов Руководство Группы принимает решение, какие ставки – постоянные и переменные будут более выгодными.</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 xml:space="preserve">Группа не подвержена риску, связанному с влиянием колебаний рыночных процентных ставок на её финансовое положение и денежные потоки. </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 xml:space="preserve">На 31 декабря 2018 года, 31 декабря 2017 и 01 января 2017 года все  банковские кредиты, были получены под фиксированные процентные ставки и  выражены в рублях. </w:t>
      </w:r>
    </w:p>
    <w:p>
      <w:pPr>
        <w:pStyle w:val="ABCparagrahinNotes"/>
        <w:spacing w:before="120" w:after="120"/>
        <w:rPr>
          <w:lang w:val="ru-RU"/>
        </w:rPr>
      </w:pPr>
      <w:r>
        <w:rPr>
          <w:lang w:val="ru-RU"/>
        </w:rPr>
      </w:r>
    </w:p>
    <w:p>
      <w:pPr>
        <w:pStyle w:val="Normal"/>
        <w:spacing w:before="120" w:after="120"/>
        <w:ind w:right="134" w:hanging="0"/>
        <w:jc w:val="both"/>
        <w:rPr>
          <w:rFonts w:ascii="Cambria" w:hAnsi="Cambria" w:eastAsia="Times New Roman" w:cs="Arial"/>
          <w:b/>
          <w:b/>
          <w:sz w:val="20"/>
          <w:szCs w:val="20"/>
        </w:rPr>
      </w:pPr>
      <w:r>
        <w:rPr>
          <w:rFonts w:eastAsia="Times New Roman" w:cs="Arial" w:ascii="Cambria" w:hAnsi="Cambria"/>
          <w:b/>
          <w:sz w:val="20"/>
          <w:szCs w:val="20"/>
        </w:rPr>
        <w:t>Кредитный риск</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 xml:space="preserve">Кредитный риск – это риск того, что Группа понесёт финансовые убытки, поскольку контрагенты не выполнят свои обязательства по финансовому инструменту или клиентскому договору. Группа подвержена кредитному риску, связанному с её операционной деятельностью (прежде всего, в отношении торговой дебиторской задолженности) и финансовой деятельностью, включая депозиты в банках. Группой разработаны процедуры, направленные на то, чтобы реализация товаров и услуг производилась только покупателям с соответствующей кредитной историей, а авансы выдавались только надёжным поставщикам. Балансовая стоимость дебиторской задолженности за вычетом резерва под снижение стоимости представляет собой максимальную сумму, подверженную кредитному риску. Несмотря на то, что темпы погашения дебиторской задолженности подвержены влиянию экономических факторов, руководство Группы считает, что существенный риск потерь сверх суммы созданного резерва под снижение стоимости дебиторской задолженности отсутствует. </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На 31 декабря 2018 года задолженность пяти крупнейших дебиторов составляла 80% от общей суммы торговой дебиторской задолженности покупателей (на 31 декабря 2017 г.: 50%, на 01 января 2017 года: 64%).</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Свободные денежные средства Группы размещаются в финансовых учреждениях, которые на момент размещения средств имеют минимальный риск дефолта.</w:t>
      </w:r>
    </w:p>
    <w:p>
      <w:pPr>
        <w:pStyle w:val="Normal"/>
        <w:spacing w:before="120" w:after="120"/>
        <w:ind w:right="134" w:hanging="0"/>
        <w:jc w:val="both"/>
        <w:rPr>
          <w:rFonts w:ascii="Cambria" w:hAnsi="Cambria" w:eastAsia="Times New Roman" w:cs="Arial"/>
          <w:b/>
          <w:b/>
          <w:sz w:val="20"/>
          <w:szCs w:val="20"/>
        </w:rPr>
      </w:pPr>
      <w:r>
        <w:rPr>
          <w:rFonts w:eastAsia="Times New Roman" w:cs="Arial" w:ascii="Cambria" w:hAnsi="Cambria"/>
          <w:b/>
          <w:sz w:val="20"/>
          <w:szCs w:val="20"/>
        </w:rPr>
        <w:t>Валютный риск</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Валютный риск – это риск того, что справедливая стоимость будущих денежных потоков по финансовому инструменту будет колебаться вследствие изменений в валютных курсах. Подверженность Группы риску изменения обменных курсов иностранных валют обусловлена, прежде всего, операционной деятельностью Группы (когда выручка или расходы деноминированы в валюте, отличной от функциональной валюты компаний Группы).</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Руководство Группы следит за изменениями обменных курсов и принимает оперативные меры по минимизации курсовых убытков. Поскольку обязательства валюте несущественны, влияние риска изменения валютных курсов минимально.</w:t>
      </w:r>
    </w:p>
    <w:p>
      <w:pPr>
        <w:pStyle w:val="ABCparagrahinNotes"/>
        <w:spacing w:before="120" w:after="120"/>
        <w:rPr>
          <w:lang w:val="ru-RU"/>
        </w:rPr>
      </w:pPr>
      <w:r>
        <w:rPr>
          <w:lang w:val="ru-RU"/>
        </w:rPr>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Остатки на балансовых статьях, выраженные в иностранной валюте иностранных валют:</w:t>
      </w:r>
    </w:p>
    <w:tbl>
      <w:tblPr>
        <w:tblW w:w="8940" w:type="dxa"/>
        <w:jc w:val="left"/>
        <w:tblInd w:w="1" w:type="dxa"/>
        <w:tblBorders/>
        <w:tblCellMar>
          <w:top w:w="0" w:type="dxa"/>
          <w:left w:w="108" w:type="dxa"/>
          <w:bottom w:w="0" w:type="dxa"/>
          <w:right w:w="108" w:type="dxa"/>
        </w:tblCellMar>
        <w:tblLook w:firstRow="1" w:noVBand="1" w:lastRow="0" w:firstColumn="1" w:lastColumn="0" w:noHBand="0" w:val="04a0"/>
      </w:tblPr>
      <w:tblGrid>
        <w:gridCol w:w="3999"/>
        <w:gridCol w:w="1720"/>
        <w:gridCol w:w="1701"/>
        <w:gridCol w:w="1519"/>
      </w:tblGrid>
      <w:tr>
        <w:trPr>
          <w:trHeight w:val="315" w:hRule="atLeast"/>
        </w:trPr>
        <w:tc>
          <w:tcPr>
            <w:tcW w:w="3999"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4940" w:type="dxa"/>
            <w:gridSpan w:val="3"/>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 2018 года</w:t>
            </w:r>
          </w:p>
        </w:tc>
      </w:tr>
      <w:tr>
        <w:trPr>
          <w:trHeight w:val="742" w:hRule="atLeast"/>
        </w:trPr>
        <w:tc>
          <w:tcPr>
            <w:tcW w:w="399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172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Денежные финансовые активы</w:t>
            </w:r>
          </w:p>
        </w:tc>
        <w:tc>
          <w:tcPr>
            <w:tcW w:w="1701"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Денежные финансовые обязательства</w:t>
            </w:r>
          </w:p>
        </w:tc>
        <w:tc>
          <w:tcPr>
            <w:tcW w:w="151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Чистая балансовая позиция</w:t>
            </w:r>
          </w:p>
        </w:tc>
      </w:tr>
      <w:tr>
        <w:trPr>
          <w:trHeight w:val="228" w:hRule="exact"/>
        </w:trPr>
        <w:tc>
          <w:tcPr>
            <w:tcW w:w="3999"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1720"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701"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19"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00" w:hRule="atLeast"/>
        </w:trPr>
        <w:tc>
          <w:tcPr>
            <w:tcW w:w="3999" w:type="dxa"/>
            <w:tcBorders>
              <w:bottom w:val="single" w:sz="4" w:space="0" w:color="000000"/>
              <w:insideH w:val="single" w:sz="4" w:space="0" w:color="000000"/>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Доллары</w:t>
            </w:r>
          </w:p>
        </w:tc>
        <w:tc>
          <w:tcPr>
            <w:tcW w:w="1720"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233</w:t>
            </w:r>
          </w:p>
        </w:tc>
        <w:tc>
          <w:tcPr>
            <w:tcW w:w="1701"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w:t>
            </w:r>
          </w:p>
        </w:tc>
        <w:tc>
          <w:tcPr>
            <w:tcW w:w="1519" w:type="dxa"/>
            <w:tcBorders>
              <w:bottom w:val="single" w:sz="4" w:space="0" w:color="000000"/>
              <w:insideH w:val="single" w:sz="4"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cs="Calibri" w:ascii="Cambria" w:hAnsi="Cambria"/>
                <w:color w:val="000000"/>
                <w:sz w:val="20"/>
                <w:szCs w:val="20"/>
              </w:rPr>
              <w:t>233</w:t>
            </w:r>
          </w:p>
        </w:tc>
      </w:tr>
      <w:tr>
        <w:trPr>
          <w:trHeight w:val="300" w:hRule="atLeast"/>
        </w:trPr>
        <w:tc>
          <w:tcPr>
            <w:tcW w:w="3999" w:type="dxa"/>
            <w:tcBorders>
              <w:top w:val="single" w:sz="4" w:space="0" w:color="000000"/>
            </w:tcBorders>
            <w:shd w:fill="auto" w:val="clear"/>
            <w:vAlign w:val="center"/>
          </w:tcPr>
          <w:p>
            <w:pPr>
              <w:pStyle w:val="Normal"/>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Итого</w:t>
            </w:r>
          </w:p>
        </w:tc>
        <w:tc>
          <w:tcPr>
            <w:tcW w:w="1720" w:type="dxa"/>
            <w:tcBorders>
              <w:top w:val="single" w:sz="4"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233</w:t>
            </w:r>
          </w:p>
        </w:tc>
        <w:tc>
          <w:tcPr>
            <w:tcW w:w="1701" w:type="dxa"/>
            <w:tcBorders>
              <w:top w:val="single" w:sz="4"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w:t>
            </w:r>
          </w:p>
        </w:tc>
        <w:tc>
          <w:tcPr>
            <w:tcW w:w="1519" w:type="dxa"/>
            <w:tcBorders>
              <w:top w:val="single" w:sz="4" w:space="0" w:color="000000"/>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233</w:t>
            </w:r>
          </w:p>
        </w:tc>
      </w:tr>
    </w:tbl>
    <w:p>
      <w:pPr>
        <w:pStyle w:val="ABCparagrahinNotes"/>
        <w:spacing w:before="120" w:after="120"/>
        <w:rPr>
          <w:lang w:val="ru-RU"/>
        </w:rPr>
      </w:pPr>
      <w:r>
        <w:rPr>
          <w:lang w:val="ru-RU"/>
        </w:rPr>
      </w:r>
    </w:p>
    <w:tbl>
      <w:tblPr>
        <w:tblW w:w="8931" w:type="dxa"/>
        <w:jc w:val="left"/>
        <w:tblInd w:w="1" w:type="dxa"/>
        <w:tblBorders/>
        <w:tblCellMar>
          <w:top w:w="0" w:type="dxa"/>
          <w:left w:w="108" w:type="dxa"/>
          <w:bottom w:w="0" w:type="dxa"/>
          <w:right w:w="108" w:type="dxa"/>
        </w:tblCellMar>
        <w:tblLook w:firstRow="1" w:noVBand="1" w:lastRow="0" w:firstColumn="1" w:lastColumn="0" w:noHBand="0" w:val="04a0"/>
      </w:tblPr>
      <w:tblGrid>
        <w:gridCol w:w="3968"/>
        <w:gridCol w:w="1701"/>
        <w:gridCol w:w="1700"/>
        <w:gridCol w:w="1561"/>
      </w:tblGrid>
      <w:tr>
        <w:trPr>
          <w:trHeight w:val="315" w:hRule="atLeast"/>
        </w:trPr>
        <w:tc>
          <w:tcPr>
            <w:tcW w:w="3968" w:type="dxa"/>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4962" w:type="dxa"/>
            <w:gridSpan w:val="3"/>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31 декабря 2017 года</w:t>
            </w:r>
          </w:p>
        </w:tc>
      </w:tr>
      <w:tr>
        <w:trPr>
          <w:trHeight w:val="767" w:hRule="atLeast"/>
        </w:trPr>
        <w:tc>
          <w:tcPr>
            <w:tcW w:w="3968"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1701"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Денежные финансовые активы</w:t>
            </w:r>
          </w:p>
        </w:tc>
        <w:tc>
          <w:tcPr>
            <w:tcW w:w="170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Денежные финансовые обязательства</w:t>
            </w:r>
          </w:p>
        </w:tc>
        <w:tc>
          <w:tcPr>
            <w:tcW w:w="1561"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Чистая балансовая позиция</w:t>
            </w:r>
          </w:p>
        </w:tc>
      </w:tr>
      <w:tr>
        <w:trPr>
          <w:trHeight w:val="300" w:hRule="atLeast"/>
        </w:trPr>
        <w:tc>
          <w:tcPr>
            <w:tcW w:w="3968"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Доллары</w:t>
            </w:r>
          </w:p>
        </w:tc>
        <w:tc>
          <w:tcPr>
            <w:tcW w:w="1701"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 xml:space="preserve">3 121 </w:t>
            </w:r>
          </w:p>
        </w:tc>
        <w:tc>
          <w:tcPr>
            <w:tcW w:w="1700"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w:t>
            </w:r>
          </w:p>
        </w:tc>
        <w:tc>
          <w:tcPr>
            <w:tcW w:w="1561"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3 121 </w:t>
            </w:r>
          </w:p>
        </w:tc>
      </w:tr>
      <w:tr>
        <w:trPr>
          <w:trHeight w:val="195" w:hRule="atLeast"/>
        </w:trPr>
        <w:tc>
          <w:tcPr>
            <w:tcW w:w="3968" w:type="dxa"/>
            <w:tcBorders/>
            <w:shd w:fill="auto" w:val="clear"/>
            <w:vAlign w:val="bottom"/>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701" w:type="dxa"/>
            <w:tcBorders>
              <w:bottom w:val="single" w:sz="8" w:space="0" w:color="000000"/>
              <w:insideH w:val="single" w:sz="8" w:space="0" w:color="000000"/>
            </w:tcBorders>
            <w:shd w:fill="auto" w:val="clear"/>
            <w:vAlign w:val="center"/>
          </w:tcPr>
          <w:p>
            <w:pPr>
              <w:pStyle w:val="Normal"/>
              <w:rPr>
                <w:rFonts w:ascii="Trebuchet MS" w:hAnsi="Trebuchet MS" w:eastAsia="Times New Roman" w:cs="Calibri"/>
                <w:color w:val="000000"/>
                <w:sz w:val="20"/>
                <w:szCs w:val="20"/>
                <w:lang w:bidi="ar-SA"/>
              </w:rPr>
            </w:pPr>
            <w:r>
              <w:rPr>
                <w:rFonts w:eastAsia="Times New Roman" w:cs="Calibri" w:ascii="Trebuchet MS" w:hAnsi="Trebuchet MS"/>
                <w:color w:val="000000"/>
                <w:sz w:val="20"/>
                <w:szCs w:val="20"/>
                <w:lang w:bidi="ar-SA"/>
              </w:rPr>
              <w:t> </w:t>
            </w:r>
          </w:p>
        </w:tc>
        <w:tc>
          <w:tcPr>
            <w:tcW w:w="1700" w:type="dxa"/>
            <w:tcBorders>
              <w:bottom w:val="single" w:sz="8" w:space="0" w:color="000000"/>
              <w:insideH w:val="single" w:sz="8" w:space="0" w:color="000000"/>
            </w:tcBorders>
            <w:shd w:fill="auto" w:val="clear"/>
            <w:vAlign w:val="center"/>
          </w:tcPr>
          <w:p>
            <w:pPr>
              <w:pStyle w:val="Normal"/>
              <w:rPr>
                <w:rFonts w:ascii="Trebuchet MS" w:hAnsi="Trebuchet MS" w:eastAsia="Times New Roman" w:cs="Calibri"/>
                <w:color w:val="000000"/>
                <w:sz w:val="20"/>
                <w:szCs w:val="20"/>
                <w:lang w:bidi="ar-SA"/>
              </w:rPr>
            </w:pPr>
            <w:r>
              <w:rPr>
                <w:rFonts w:eastAsia="Times New Roman" w:cs="Calibri" w:ascii="Trebuchet MS" w:hAnsi="Trebuchet MS"/>
                <w:color w:val="000000"/>
                <w:sz w:val="20"/>
                <w:szCs w:val="20"/>
                <w:lang w:bidi="ar-SA"/>
              </w:rPr>
              <w:t> </w:t>
            </w:r>
          </w:p>
        </w:tc>
        <w:tc>
          <w:tcPr>
            <w:tcW w:w="1561" w:type="dxa"/>
            <w:tcBorders>
              <w:bottom w:val="single" w:sz="8" w:space="0" w:color="000000"/>
              <w:insideH w:val="single" w:sz="8" w:space="0" w:color="000000"/>
            </w:tcBorders>
            <w:shd w:fill="auto" w:val="clear"/>
            <w:vAlign w:val="center"/>
          </w:tcPr>
          <w:p>
            <w:pPr>
              <w:pStyle w:val="Normal"/>
              <w:rPr>
                <w:rFonts w:ascii="Trebuchet MS" w:hAnsi="Trebuchet MS" w:eastAsia="Times New Roman" w:cs="Calibri"/>
                <w:color w:val="000000"/>
                <w:sz w:val="20"/>
                <w:szCs w:val="20"/>
                <w:lang w:bidi="ar-SA"/>
              </w:rPr>
            </w:pPr>
            <w:r>
              <w:rPr>
                <w:rFonts w:eastAsia="Times New Roman" w:cs="Calibri" w:ascii="Trebuchet MS" w:hAnsi="Trebuchet MS"/>
                <w:color w:val="000000"/>
                <w:sz w:val="20"/>
                <w:szCs w:val="20"/>
                <w:lang w:bidi="ar-SA"/>
              </w:rPr>
              <w:t> </w:t>
            </w:r>
          </w:p>
        </w:tc>
      </w:tr>
      <w:tr>
        <w:trPr>
          <w:trHeight w:val="300" w:hRule="atLeast"/>
        </w:trPr>
        <w:tc>
          <w:tcPr>
            <w:tcW w:w="3968" w:type="dxa"/>
            <w:tcBorders/>
            <w:shd w:fill="auto" w:val="clear"/>
            <w:vAlign w:val="center"/>
          </w:tcPr>
          <w:p>
            <w:pPr>
              <w:pStyle w:val="Normal"/>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Итого</w:t>
            </w:r>
          </w:p>
        </w:tc>
        <w:tc>
          <w:tcPr>
            <w:tcW w:w="1701"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 xml:space="preserve">                                           </w:t>
            </w:r>
            <w:r>
              <w:rPr>
                <w:rFonts w:eastAsia="Times New Roman" w:cs="Calibri" w:ascii="Cambria" w:hAnsi="Cambria"/>
                <w:b/>
                <w:bCs/>
                <w:color w:val="000000"/>
                <w:sz w:val="20"/>
                <w:szCs w:val="20"/>
                <w:lang w:bidi="ar-SA"/>
              </w:rPr>
              <w:t xml:space="preserve">3 121 </w:t>
            </w:r>
          </w:p>
        </w:tc>
        <w:tc>
          <w:tcPr>
            <w:tcW w:w="1700"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w:t>
            </w:r>
          </w:p>
        </w:tc>
        <w:tc>
          <w:tcPr>
            <w:tcW w:w="1561" w:type="dxa"/>
            <w:tcBorders/>
            <w:shd w:fill="auto" w:val="clear"/>
            <w:vAlign w:val="center"/>
          </w:tcPr>
          <w:p>
            <w:pPr>
              <w:pStyle w:val="Normal"/>
              <w:jc w:val="right"/>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3 121</w:t>
            </w:r>
          </w:p>
        </w:tc>
      </w:tr>
    </w:tbl>
    <w:p>
      <w:pPr>
        <w:pStyle w:val="ABCparagrahinNotes"/>
        <w:spacing w:before="120" w:after="120"/>
        <w:rPr>
          <w:lang w:val="ru-RU"/>
        </w:rPr>
      </w:pPr>
      <w:r>
        <w:rPr>
          <w:lang w:val="ru-RU"/>
        </w:rPr>
        <w:t>На 01 января 2017 года активов и обязательств в иностранной валюте не было.</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В следующей таблице представлен анализ чувствительности к возможным изменениям в обменном курсе российского рубля, доллара США, при условии неизменности всех прочих параметров.</w:t>
      </w:r>
    </w:p>
    <w:tbl>
      <w:tblPr>
        <w:tblW w:w="8931" w:type="dxa"/>
        <w:jc w:val="left"/>
        <w:tblInd w:w="1" w:type="dxa"/>
        <w:tblBorders/>
        <w:tblCellMar>
          <w:top w:w="0" w:type="dxa"/>
          <w:left w:w="108" w:type="dxa"/>
          <w:bottom w:w="0" w:type="dxa"/>
          <w:right w:w="108" w:type="dxa"/>
        </w:tblCellMar>
        <w:tblLook w:firstRow="1" w:noVBand="1" w:lastRow="0" w:firstColumn="1" w:lastColumn="0" w:noHBand="0" w:val="04a0"/>
      </w:tblPr>
      <w:tblGrid>
        <w:gridCol w:w="3983"/>
        <w:gridCol w:w="1713"/>
        <w:gridCol w:w="235"/>
        <w:gridCol w:w="1514"/>
        <w:gridCol w:w="257"/>
        <w:gridCol w:w="1228"/>
      </w:tblGrid>
      <w:tr>
        <w:trPr>
          <w:trHeight w:val="450" w:hRule="atLeast"/>
        </w:trPr>
        <w:tc>
          <w:tcPr>
            <w:tcW w:w="3983" w:type="dxa"/>
            <w:vMerge w:val="restart"/>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713" w:type="dxa"/>
            <w:tcBorders/>
            <w:shd w:fill="auto" w:val="clear"/>
            <w:vAlign w:val="center"/>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t>31 декабря</w:t>
            </w:r>
          </w:p>
        </w:tc>
        <w:tc>
          <w:tcPr>
            <w:tcW w:w="235" w:type="dxa"/>
            <w:vMerge w:val="restart"/>
            <w:tcBorders/>
            <w:shd w:fill="auto" w:val="clear"/>
            <w:vAlign w:val="center"/>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r>
          </w:p>
        </w:tc>
        <w:tc>
          <w:tcPr>
            <w:tcW w:w="1514" w:type="dxa"/>
            <w:tcBorders/>
            <w:shd w:fill="auto" w:val="clear"/>
            <w:vAlign w:val="center"/>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t>31 декабря</w:t>
            </w:r>
          </w:p>
        </w:tc>
        <w:tc>
          <w:tcPr>
            <w:tcW w:w="257" w:type="dxa"/>
            <w:tcBorders/>
            <w:shd w:fill="auto" w:val="clear"/>
            <w:vAlign w:val="bottom"/>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r>
          </w:p>
        </w:tc>
        <w:tc>
          <w:tcPr>
            <w:tcW w:w="1228" w:type="dxa"/>
            <w:tcBorders/>
            <w:shd w:fill="auto" w:val="clear"/>
            <w:vAlign w:val="center"/>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t>01 января</w:t>
            </w:r>
          </w:p>
        </w:tc>
      </w:tr>
      <w:tr>
        <w:trPr>
          <w:trHeight w:val="315" w:hRule="atLeast"/>
        </w:trPr>
        <w:tc>
          <w:tcPr>
            <w:tcW w:w="3983"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713"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t>2018 года</w:t>
            </w:r>
          </w:p>
        </w:tc>
        <w:tc>
          <w:tcPr>
            <w:tcW w:w="235" w:type="dxa"/>
            <w:vMerge w:val="continue"/>
            <w:tcBorders/>
            <w:shd w:fill="auto" w:val="clear"/>
            <w:vAlign w:val="center"/>
          </w:tcPr>
          <w:p>
            <w:pPr>
              <w:pStyle w:val="Normal"/>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r>
          </w:p>
        </w:tc>
        <w:tc>
          <w:tcPr>
            <w:tcW w:w="1514"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t>2017 года</w:t>
            </w:r>
          </w:p>
        </w:tc>
        <w:tc>
          <w:tcPr>
            <w:tcW w:w="257" w:type="dxa"/>
            <w:tcBorders/>
            <w:shd w:fill="auto" w:val="clear"/>
            <w:vAlign w:val="bottom"/>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r>
          </w:p>
        </w:tc>
        <w:tc>
          <w:tcPr>
            <w:tcW w:w="1228"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Arial"/>
                <w:b/>
                <w:b/>
                <w:bCs/>
                <w:color w:val="000000"/>
                <w:sz w:val="16"/>
                <w:szCs w:val="16"/>
                <w:lang w:bidi="ar-SA"/>
              </w:rPr>
            </w:pPr>
            <w:r>
              <w:rPr>
                <w:rFonts w:eastAsia="Times New Roman" w:cs="Arial" w:ascii="Cambria" w:hAnsi="Cambria"/>
                <w:b/>
                <w:bCs/>
                <w:color w:val="000000"/>
                <w:sz w:val="16"/>
                <w:szCs w:val="16"/>
                <w:lang w:bidi="ar-SA"/>
              </w:rPr>
              <w:t>2017 года</w:t>
            </w:r>
          </w:p>
        </w:tc>
      </w:tr>
      <w:tr>
        <w:trPr>
          <w:trHeight w:val="900" w:hRule="atLeast"/>
        </w:trPr>
        <w:tc>
          <w:tcPr>
            <w:tcW w:w="3983"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Эффект на нераспределенную прибыль при укреплении доллара на 10%</w:t>
            </w:r>
          </w:p>
        </w:tc>
        <w:tc>
          <w:tcPr>
            <w:tcW w:w="1713"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 xml:space="preserve">23 </w:t>
            </w:r>
          </w:p>
        </w:tc>
        <w:tc>
          <w:tcPr>
            <w:tcW w:w="235"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514"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 xml:space="preserve">312 </w:t>
            </w:r>
          </w:p>
        </w:tc>
        <w:tc>
          <w:tcPr>
            <w:tcW w:w="257" w:type="dxa"/>
            <w:tcBorders/>
            <w:shd w:fill="auto" w:val="clear"/>
            <w:vAlign w:val="bottom"/>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228"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 xml:space="preserve">- </w:t>
            </w:r>
          </w:p>
        </w:tc>
      </w:tr>
      <w:tr>
        <w:trPr>
          <w:trHeight w:val="630" w:hRule="atLeast"/>
        </w:trPr>
        <w:tc>
          <w:tcPr>
            <w:tcW w:w="3983"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Эффект на нераспределенную прибыль при ослаблении доллара на 10%</w:t>
            </w:r>
          </w:p>
        </w:tc>
        <w:tc>
          <w:tcPr>
            <w:tcW w:w="1713"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(23)</w:t>
            </w:r>
          </w:p>
        </w:tc>
        <w:tc>
          <w:tcPr>
            <w:tcW w:w="235" w:type="dxa"/>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514"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(312)</w:t>
            </w:r>
          </w:p>
        </w:tc>
        <w:tc>
          <w:tcPr>
            <w:tcW w:w="257" w:type="dxa"/>
            <w:tcBorders/>
            <w:shd w:fill="auto" w:val="clear"/>
            <w:vAlign w:val="bottom"/>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228"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 xml:space="preserve">- </w:t>
            </w:r>
          </w:p>
        </w:tc>
      </w:tr>
    </w:tbl>
    <w:p>
      <w:pPr>
        <w:pStyle w:val="Normal"/>
        <w:rPr/>
      </w:pPr>
      <w:r>
        <w:rPr/>
      </w:r>
    </w:p>
    <w:p>
      <w:pPr>
        <w:pStyle w:val="Normal"/>
        <w:spacing w:before="120" w:after="120"/>
        <w:jc w:val="both"/>
        <w:rPr>
          <w:sz w:val="20"/>
          <w:szCs w:val="20"/>
        </w:rPr>
      </w:pPr>
      <w:r>
        <w:rPr>
          <w:sz w:val="20"/>
          <w:szCs w:val="20"/>
        </w:rPr>
      </w:r>
    </w:p>
    <w:p>
      <w:pPr>
        <w:pStyle w:val="Normal"/>
        <w:spacing w:before="120" w:after="120"/>
        <w:ind w:right="134" w:hanging="0"/>
        <w:jc w:val="both"/>
        <w:rPr>
          <w:rFonts w:ascii="Cambria" w:hAnsi="Cambria" w:eastAsia="Times New Roman" w:cs="Arial"/>
          <w:b/>
          <w:b/>
          <w:sz w:val="20"/>
          <w:szCs w:val="20"/>
        </w:rPr>
      </w:pPr>
      <w:r>
        <w:rPr>
          <w:rFonts w:eastAsia="Times New Roman" w:cs="Arial" w:ascii="Cambria" w:hAnsi="Cambria"/>
          <w:b/>
          <w:sz w:val="20"/>
          <w:szCs w:val="20"/>
        </w:rPr>
        <w:t>Риск ликвидности</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Риск ликвидности – это риск возникновения у Группы затруднений при выполнении своих финансовых обязательств, урегулирование которых предполагает расчёт в денежной форме или с использованием других финансовых активов. Такой риск связан с вероятностью того, что от Группы могут потребовать выполнения обязательств ранее запланированных сроков.</w:t>
      </w:r>
    </w:p>
    <w:p>
      <w:pPr>
        <w:pStyle w:val="Normal"/>
        <w:spacing w:before="120" w:after="120"/>
        <w:ind w:right="134" w:hanging="0"/>
        <w:jc w:val="both"/>
        <w:rPr>
          <w:rFonts w:ascii="Cambria" w:hAnsi="Cambria" w:eastAsia="Times New Roman"/>
          <w:sz w:val="20"/>
          <w:szCs w:val="20"/>
        </w:rPr>
      </w:pPr>
      <w:r>
        <w:rPr>
          <w:rFonts w:eastAsia="Times New Roman" w:ascii="Cambria" w:hAnsi="Cambria"/>
          <w:sz w:val="20"/>
          <w:szCs w:val="20"/>
        </w:rPr>
        <w:t>Группа использует максимальный возможный диапазон кредитных продуктов, чтобы оперативно реагировать на изменения рынка кредитных продуктов. Основная цель Группы – поддержание баланса между непрерывностью финансирования и гибкостью операций за счёт использования банковских кредитов и займов, долговых ценных бумаг и обязательств по финансовой аренде.</w:t>
      </w:r>
    </w:p>
    <w:p>
      <w:pPr>
        <w:pStyle w:val="ABCparagrahinNotes"/>
        <w:spacing w:before="120" w:after="120"/>
        <w:rPr>
          <w:lang w:val="ru-RU"/>
        </w:rPr>
      </w:pPr>
      <w:r>
        <w:rPr>
          <w:lang w:val="ru-RU"/>
        </w:rPr>
        <w:t>В таблице ниже представлены сроки погашения финансовых обязательств Группы на 31 декабря 2018, 31 декабря 2017 и 01 января 2017 года, исходя из не дисконтированных платежей в соответствии с договорными условиями.</w:t>
      </w:r>
    </w:p>
    <w:p>
      <w:pPr>
        <w:pStyle w:val="ABCparagrahinNotes"/>
        <w:spacing w:before="120" w:after="120"/>
        <w:rPr>
          <w:lang w:val="ru-RU"/>
        </w:rPr>
      </w:pPr>
      <w:r>
        <w:rPr>
          <w:lang w:val="ru-RU"/>
        </w:rPr>
      </w:r>
    </w:p>
    <w:p>
      <w:pPr>
        <w:pStyle w:val="ABCparagrahinNotes"/>
        <w:spacing w:before="120" w:after="120"/>
        <w:rPr>
          <w:lang w:val="ru-RU"/>
        </w:rPr>
      </w:pPr>
      <w:r>
        <w:rPr>
          <w:lang w:val="ru-RU"/>
        </w:rPr>
      </w:r>
    </w:p>
    <w:p>
      <w:pPr>
        <w:pStyle w:val="ABCparagrahinNotes"/>
        <w:spacing w:before="120" w:after="120"/>
        <w:rPr/>
      </w:pPr>
      <w:r>
        <w:rPr/>
      </w:r>
    </w:p>
    <w:p>
      <w:pPr>
        <w:pStyle w:val="ABCparagrahinNotes"/>
        <w:spacing w:before="120" w:after="120"/>
        <w:rPr/>
      </w:pPr>
      <w:r>
        <w:rPr/>
      </w:r>
    </w:p>
    <w:p>
      <w:pPr>
        <w:pStyle w:val="ABCparagrahinNotes"/>
        <w:spacing w:before="120" w:after="120"/>
        <w:rPr/>
      </w:pPr>
      <w:r>
        <w:rPr/>
      </w:r>
    </w:p>
    <w:p>
      <w:pPr>
        <w:pStyle w:val="ABCparagrahinNotes"/>
        <w:spacing w:before="120" w:after="120"/>
        <w:rPr>
          <w:lang w:val="ru-RU"/>
        </w:rPr>
      </w:pPr>
      <w:r>
        <w:rPr>
          <w:lang w:val="ru-RU"/>
        </w:rPr>
      </w:r>
    </w:p>
    <w:tbl>
      <w:tblPr>
        <w:tblpPr w:bottomFromText="0" w:horzAnchor="margin" w:leftFromText="180" w:rightFromText="180" w:tblpX="0" w:tblpXSpec="center" w:tblpY="147" w:topFromText="0" w:vertAnchor="text"/>
        <w:tblW w:w="10300" w:type="dxa"/>
        <w:jc w:val="center"/>
        <w:tblInd w:w="0" w:type="dxa"/>
        <w:tblBorders/>
        <w:tblCellMar>
          <w:top w:w="0" w:type="dxa"/>
          <w:left w:w="108" w:type="dxa"/>
          <w:bottom w:w="0" w:type="dxa"/>
          <w:right w:w="108" w:type="dxa"/>
        </w:tblCellMar>
        <w:tblLook w:firstRow="1" w:noVBand="1" w:lastRow="0" w:firstColumn="1" w:lastColumn="0" w:noHBand="0" w:val="04a0"/>
      </w:tblPr>
      <w:tblGrid>
        <w:gridCol w:w="2940"/>
        <w:gridCol w:w="1600"/>
        <w:gridCol w:w="2880"/>
        <w:gridCol w:w="960"/>
        <w:gridCol w:w="960"/>
        <w:gridCol w:w="959"/>
      </w:tblGrid>
      <w:tr>
        <w:trPr>
          <w:trHeight w:val="375" w:hRule="atLeast"/>
        </w:trPr>
        <w:tc>
          <w:tcPr>
            <w:tcW w:w="2940" w:type="dxa"/>
            <w:vMerge w:val="restart"/>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600"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4800" w:type="dxa"/>
            <w:gridSpan w:val="3"/>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Денежный поток по договору</w:t>
            </w:r>
          </w:p>
        </w:tc>
        <w:tc>
          <w:tcPr>
            <w:tcW w:w="95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 </w:t>
            </w:r>
          </w:p>
        </w:tc>
      </w:tr>
      <w:tr>
        <w:trPr>
          <w:trHeight w:val="375" w:hRule="atLeast"/>
        </w:trPr>
        <w:tc>
          <w:tcPr>
            <w:tcW w:w="294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60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2880" w:type="dxa"/>
            <w:vMerge w:val="restart"/>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До 1 года</w:t>
            </w:r>
          </w:p>
        </w:tc>
        <w:tc>
          <w:tcPr>
            <w:tcW w:w="96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59" w:type="dxa"/>
            <w:vMerge w:val="restart"/>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Свыше 5 лет</w:t>
            </w:r>
          </w:p>
        </w:tc>
      </w:tr>
      <w:tr>
        <w:trPr>
          <w:trHeight w:val="585" w:hRule="atLeast"/>
        </w:trPr>
        <w:tc>
          <w:tcPr>
            <w:tcW w:w="294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60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 xml:space="preserve">Балансовая стоимость </w:t>
            </w:r>
          </w:p>
        </w:tc>
        <w:tc>
          <w:tcPr>
            <w:tcW w:w="2880"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59"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r>
      <w:tr>
        <w:trPr>
          <w:trHeight w:val="510" w:hRule="atLeast"/>
        </w:trPr>
        <w:tc>
          <w:tcPr>
            <w:tcW w:w="294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60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на 31 декабря 2018 года</w:t>
            </w:r>
          </w:p>
        </w:tc>
        <w:tc>
          <w:tcPr>
            <w:tcW w:w="2880"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От 1 года до 2 лет</w:t>
            </w:r>
          </w:p>
        </w:tc>
        <w:tc>
          <w:tcPr>
            <w:tcW w:w="9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От 2 до 5 лет</w:t>
            </w:r>
          </w:p>
        </w:tc>
        <w:tc>
          <w:tcPr>
            <w:tcW w:w="959"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r>
      <w:tr>
        <w:trPr>
          <w:trHeight w:val="375" w:hRule="atLeast"/>
        </w:trPr>
        <w:tc>
          <w:tcPr>
            <w:tcW w:w="2940" w:type="dxa"/>
            <w:tcBorders/>
            <w:shd w:fill="auto" w:val="clear"/>
            <w:vAlign w:val="center"/>
          </w:tcPr>
          <w:p>
            <w:pPr>
              <w:pStyle w:val="Normal"/>
              <w:rPr>
                <w:rFonts w:ascii="Cambria" w:hAnsi="Cambria" w:eastAsia="Times New Roman"/>
                <w:b/>
                <w:b/>
                <w:bCs/>
                <w:color w:val="000000"/>
                <w:sz w:val="20"/>
                <w:szCs w:val="20"/>
                <w:lang w:bidi="ar-SA"/>
              </w:rPr>
            </w:pPr>
            <w:r>
              <w:rPr>
                <w:rFonts w:eastAsia="Times New Roman" w:ascii="Cambria" w:hAnsi="Cambria"/>
                <w:b/>
                <w:bCs/>
                <w:color w:val="000000"/>
                <w:sz w:val="20"/>
                <w:szCs w:val="20"/>
                <w:lang w:bidi="ar-SA"/>
              </w:rPr>
              <w:t>Денежные финансовые обязательства</w:t>
            </w:r>
          </w:p>
        </w:tc>
        <w:tc>
          <w:tcPr>
            <w:tcW w:w="1600" w:type="dxa"/>
            <w:tcBorders/>
            <w:shd w:fill="auto" w:val="clear"/>
            <w:vAlign w:val="center"/>
          </w:tcPr>
          <w:p>
            <w:pPr>
              <w:pStyle w:val="Normal"/>
              <w:rPr>
                <w:rFonts w:ascii="Cambria" w:hAnsi="Cambria" w:eastAsia="Times New Roman"/>
                <w:b/>
                <w:b/>
                <w:bCs/>
                <w:color w:val="000000"/>
                <w:sz w:val="20"/>
                <w:szCs w:val="20"/>
                <w:lang w:bidi="ar-SA"/>
              </w:rPr>
            </w:pPr>
            <w:r>
              <w:rPr>
                <w:rFonts w:eastAsia="Times New Roman" w:ascii="Cambria" w:hAnsi="Cambria"/>
                <w:b/>
                <w:bCs/>
                <w:color w:val="000000"/>
                <w:sz w:val="20"/>
                <w:szCs w:val="20"/>
                <w:lang w:bidi="ar-SA"/>
              </w:rPr>
            </w:r>
          </w:p>
        </w:tc>
        <w:tc>
          <w:tcPr>
            <w:tcW w:w="288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6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6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59"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75" w:hRule="atLeast"/>
        </w:trPr>
        <w:tc>
          <w:tcPr>
            <w:tcW w:w="2940"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Кредиторская задолженность </w:t>
            </w:r>
          </w:p>
        </w:tc>
        <w:tc>
          <w:tcPr>
            <w:tcW w:w="1600" w:type="dxa"/>
            <w:tcBorders/>
            <w:shd w:fill="auto" w:val="clear"/>
            <w:vAlign w:val="center"/>
          </w:tcPr>
          <w:p>
            <w:pPr>
              <w:pStyle w:val="Normal"/>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170 313 </w:t>
            </w:r>
          </w:p>
        </w:tc>
        <w:tc>
          <w:tcPr>
            <w:tcW w:w="2880" w:type="dxa"/>
            <w:tcBorders/>
            <w:shd w:fill="auto" w:val="clear"/>
            <w:vAlign w:val="center"/>
          </w:tcPr>
          <w:p>
            <w:pPr>
              <w:pStyle w:val="Normal"/>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170 313 </w:t>
            </w:r>
          </w:p>
        </w:tc>
        <w:tc>
          <w:tcPr>
            <w:tcW w:w="960" w:type="dxa"/>
            <w:tcBorders/>
            <w:shd w:fill="auto" w:val="clear"/>
            <w:vAlign w:val="center"/>
          </w:tcPr>
          <w:p>
            <w:pPr>
              <w:pStyle w:val="Normal"/>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 </w:t>
            </w:r>
          </w:p>
        </w:tc>
        <w:tc>
          <w:tcPr>
            <w:tcW w:w="960" w:type="dxa"/>
            <w:tcBorders/>
            <w:shd w:fill="auto" w:val="clear"/>
            <w:vAlign w:val="center"/>
          </w:tcPr>
          <w:p>
            <w:pPr>
              <w:pStyle w:val="Normal"/>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 </w:t>
            </w:r>
          </w:p>
        </w:tc>
        <w:tc>
          <w:tcPr>
            <w:tcW w:w="959"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w:t>
            </w:r>
          </w:p>
        </w:tc>
      </w:tr>
      <w:tr>
        <w:trPr>
          <w:trHeight w:val="375" w:hRule="atLeast"/>
        </w:trPr>
        <w:tc>
          <w:tcPr>
            <w:tcW w:w="2940"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Займы полученные </w:t>
            </w:r>
          </w:p>
        </w:tc>
        <w:tc>
          <w:tcPr>
            <w:tcW w:w="1600"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99 485</w:t>
            </w:r>
          </w:p>
        </w:tc>
        <w:tc>
          <w:tcPr>
            <w:tcW w:w="2880"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99 485</w:t>
            </w:r>
          </w:p>
        </w:tc>
        <w:tc>
          <w:tcPr>
            <w:tcW w:w="960"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w:t>
            </w:r>
          </w:p>
        </w:tc>
        <w:tc>
          <w:tcPr>
            <w:tcW w:w="960"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w:t>
            </w:r>
          </w:p>
        </w:tc>
        <w:tc>
          <w:tcPr>
            <w:tcW w:w="959"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w:t>
            </w:r>
          </w:p>
        </w:tc>
      </w:tr>
      <w:tr>
        <w:trPr>
          <w:trHeight w:val="660" w:hRule="atLeast"/>
        </w:trPr>
        <w:tc>
          <w:tcPr>
            <w:tcW w:w="2940"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Платежи по финансовой аренде </w:t>
            </w:r>
          </w:p>
        </w:tc>
        <w:tc>
          <w:tcPr>
            <w:tcW w:w="1600"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22 709</w:t>
            </w:r>
          </w:p>
        </w:tc>
        <w:tc>
          <w:tcPr>
            <w:tcW w:w="2880"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9 163</w:t>
            </w:r>
          </w:p>
        </w:tc>
        <w:tc>
          <w:tcPr>
            <w:tcW w:w="960"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7 273</w:t>
            </w:r>
          </w:p>
        </w:tc>
        <w:tc>
          <w:tcPr>
            <w:tcW w:w="960"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t>6 272</w:t>
            </w:r>
          </w:p>
        </w:tc>
        <w:tc>
          <w:tcPr>
            <w:tcW w:w="959" w:type="dxa"/>
            <w:tcBorders/>
            <w:shd w:fill="auto" w:val="clear"/>
            <w:vAlign w:val="center"/>
          </w:tcPr>
          <w:p>
            <w:pPr>
              <w:pStyle w:val="Normal"/>
              <w:jc w:val="right"/>
              <w:rPr>
                <w:rFonts w:ascii="Arial" w:hAnsi="Arial" w:eastAsia="Times New Roman" w:cs="Arial"/>
                <w:color w:val="000000"/>
                <w:sz w:val="16"/>
                <w:szCs w:val="16"/>
                <w:lang w:bidi="ar-SA"/>
              </w:rPr>
            </w:pPr>
            <w:r>
              <w:rPr>
                <w:rFonts w:eastAsia="Times New Roman" w:cs="Arial" w:ascii="Arial" w:hAnsi="Arial"/>
                <w:color w:val="000000"/>
                <w:sz w:val="16"/>
                <w:szCs w:val="16"/>
                <w:lang w:bidi="ar-SA"/>
              </w:rPr>
            </w:r>
          </w:p>
        </w:tc>
      </w:tr>
      <w:tr>
        <w:trPr>
          <w:trHeight w:val="705" w:hRule="atLeast"/>
        </w:trPr>
        <w:tc>
          <w:tcPr>
            <w:tcW w:w="2940" w:type="dxa"/>
            <w:tcBorders/>
            <w:shd w:fill="auto" w:val="clear"/>
            <w:vAlign w:val="center"/>
          </w:tcPr>
          <w:p>
            <w:pPr>
              <w:pStyle w:val="Normal"/>
              <w:rPr>
                <w:rFonts w:ascii="Cambria" w:hAnsi="Cambria" w:eastAsia="Times New Roman"/>
                <w:b/>
                <w:b/>
                <w:bCs/>
                <w:color w:val="000000"/>
                <w:sz w:val="20"/>
                <w:szCs w:val="20"/>
                <w:lang w:bidi="ar-SA"/>
              </w:rPr>
            </w:pPr>
            <w:r>
              <w:rPr>
                <w:rFonts w:eastAsia="Times New Roman" w:ascii="Cambria" w:hAnsi="Cambria"/>
                <w:b/>
                <w:bCs/>
                <w:color w:val="000000"/>
                <w:sz w:val="20"/>
                <w:szCs w:val="20"/>
                <w:lang w:bidi="ar-SA"/>
              </w:rPr>
              <w:t>Итого будущие выплаты, включая будущие выплаты основной суммы и процентов</w:t>
            </w:r>
          </w:p>
        </w:tc>
        <w:tc>
          <w:tcPr>
            <w:tcW w:w="160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292 507 </w:t>
            </w:r>
          </w:p>
        </w:tc>
        <w:tc>
          <w:tcPr>
            <w:tcW w:w="288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278 962 </w:t>
            </w:r>
          </w:p>
        </w:tc>
        <w:tc>
          <w:tcPr>
            <w:tcW w:w="960" w:type="dxa"/>
            <w:tcBorders>
              <w:top w:val="single" w:sz="8" w:space="0" w:color="000000"/>
              <w:bottom w:val="double" w:sz="6" w:space="0" w:color="000000"/>
              <w:insideH w:val="double" w:sz="6" w:space="0" w:color="000000"/>
            </w:tcBorders>
            <w:shd w:fill="auto" w:val="clear"/>
            <w:vAlign w:val="center"/>
          </w:tcPr>
          <w:p>
            <w:pPr>
              <w:pStyle w:val="Normal"/>
              <w:ind w:left="-54" w:hanging="0"/>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7 273 </w:t>
            </w:r>
          </w:p>
        </w:tc>
        <w:tc>
          <w:tcPr>
            <w:tcW w:w="960" w:type="dxa"/>
            <w:tcBorders>
              <w:top w:val="single" w:sz="8" w:space="0" w:color="000000"/>
              <w:bottom w:val="double" w:sz="6" w:space="0" w:color="000000"/>
              <w:insideH w:val="double" w:sz="6" w:space="0" w:color="000000"/>
            </w:tcBorders>
            <w:shd w:fill="auto" w:val="clear"/>
            <w:vAlign w:val="center"/>
          </w:tcPr>
          <w:p>
            <w:pPr>
              <w:pStyle w:val="Normal"/>
              <w:ind w:left="-30" w:hanging="0"/>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6 272 </w:t>
            </w:r>
          </w:p>
        </w:tc>
        <w:tc>
          <w:tcPr>
            <w:tcW w:w="95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 </w:t>
            </w:r>
          </w:p>
        </w:tc>
      </w:tr>
    </w:tbl>
    <w:p>
      <w:pPr>
        <w:pStyle w:val="ABCparagrahinNotes"/>
        <w:spacing w:before="120" w:after="120"/>
        <w:rPr>
          <w:lang w:val="ru-RU"/>
        </w:rPr>
      </w:pPr>
      <w:r>
        <w:rPr>
          <w:lang w:val="ru-RU"/>
        </w:rPr>
      </w:r>
    </w:p>
    <w:p>
      <w:pPr>
        <w:pStyle w:val="ABCparagrahinNotes"/>
        <w:spacing w:before="120" w:after="120"/>
        <w:rPr>
          <w:lang w:val="ru-RU"/>
        </w:rPr>
      </w:pPr>
      <w:r>
        <w:rPr>
          <w:lang w:val="ru-RU"/>
        </w:rPr>
      </w:r>
    </w:p>
    <w:tbl>
      <w:tblPr>
        <w:tblpPr w:bottomFromText="0" w:horzAnchor="margin" w:leftFromText="180" w:rightFromText="180" w:tblpX="0" w:tblpXSpec="center" w:tblpY="246" w:topFromText="0" w:vertAnchor="text"/>
        <w:tblW w:w="10400" w:type="dxa"/>
        <w:jc w:val="center"/>
        <w:tblInd w:w="0" w:type="dxa"/>
        <w:tblBorders/>
        <w:tblCellMar>
          <w:top w:w="0" w:type="dxa"/>
          <w:left w:w="108" w:type="dxa"/>
          <w:bottom w:w="0" w:type="dxa"/>
          <w:right w:w="108" w:type="dxa"/>
        </w:tblCellMar>
        <w:tblLook w:firstRow="1" w:noVBand="1" w:lastRow="0" w:firstColumn="1" w:lastColumn="0" w:noHBand="0" w:val="04a0"/>
      </w:tblPr>
      <w:tblGrid>
        <w:gridCol w:w="3100"/>
        <w:gridCol w:w="1540"/>
        <w:gridCol w:w="2880"/>
        <w:gridCol w:w="960"/>
        <w:gridCol w:w="960"/>
        <w:gridCol w:w="959"/>
      </w:tblGrid>
      <w:tr>
        <w:trPr>
          <w:trHeight w:val="375" w:hRule="atLeast"/>
        </w:trPr>
        <w:tc>
          <w:tcPr>
            <w:tcW w:w="3100" w:type="dxa"/>
            <w:vMerge w:val="restart"/>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40"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4800" w:type="dxa"/>
            <w:gridSpan w:val="3"/>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Денежный поток по договору</w:t>
            </w:r>
          </w:p>
        </w:tc>
        <w:tc>
          <w:tcPr>
            <w:tcW w:w="95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 </w:t>
            </w:r>
          </w:p>
        </w:tc>
      </w:tr>
      <w:tr>
        <w:trPr>
          <w:trHeight w:val="375" w:hRule="atLeast"/>
        </w:trPr>
        <w:tc>
          <w:tcPr>
            <w:tcW w:w="310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4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2880" w:type="dxa"/>
            <w:vMerge w:val="restart"/>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До 1 года</w:t>
            </w:r>
          </w:p>
        </w:tc>
        <w:tc>
          <w:tcPr>
            <w:tcW w:w="96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59" w:type="dxa"/>
            <w:vMerge w:val="restart"/>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Свыше 5 лет</w:t>
            </w:r>
          </w:p>
        </w:tc>
      </w:tr>
      <w:tr>
        <w:trPr>
          <w:trHeight w:val="585" w:hRule="atLeast"/>
        </w:trPr>
        <w:tc>
          <w:tcPr>
            <w:tcW w:w="310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4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 xml:space="preserve">Балансовая стоимость </w:t>
            </w:r>
          </w:p>
        </w:tc>
        <w:tc>
          <w:tcPr>
            <w:tcW w:w="2880"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59"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r>
      <w:tr>
        <w:trPr>
          <w:trHeight w:val="510" w:hRule="atLeast"/>
        </w:trPr>
        <w:tc>
          <w:tcPr>
            <w:tcW w:w="3100"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4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на 31 декабря 2017 года</w:t>
            </w:r>
          </w:p>
        </w:tc>
        <w:tc>
          <w:tcPr>
            <w:tcW w:w="2880"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От 1 года до 2 лет</w:t>
            </w:r>
          </w:p>
        </w:tc>
        <w:tc>
          <w:tcPr>
            <w:tcW w:w="9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От 2 до 5 лет</w:t>
            </w:r>
          </w:p>
        </w:tc>
        <w:tc>
          <w:tcPr>
            <w:tcW w:w="959"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r>
      <w:tr>
        <w:trPr>
          <w:trHeight w:val="525" w:hRule="atLeast"/>
        </w:trPr>
        <w:tc>
          <w:tcPr>
            <w:tcW w:w="3100" w:type="dxa"/>
            <w:tcBorders/>
            <w:shd w:fill="auto" w:val="clear"/>
            <w:vAlign w:val="center"/>
          </w:tcPr>
          <w:p>
            <w:pPr>
              <w:pStyle w:val="Normal"/>
              <w:rPr>
                <w:rFonts w:ascii="Cambria" w:hAnsi="Cambria" w:eastAsia="Times New Roman"/>
                <w:b/>
                <w:b/>
                <w:bCs/>
                <w:color w:val="000000"/>
                <w:sz w:val="20"/>
                <w:szCs w:val="20"/>
                <w:lang w:bidi="ar-SA"/>
              </w:rPr>
            </w:pPr>
            <w:r>
              <w:rPr>
                <w:rFonts w:eastAsia="Times New Roman" w:ascii="Cambria" w:hAnsi="Cambria"/>
                <w:b/>
                <w:bCs/>
                <w:color w:val="000000"/>
                <w:sz w:val="20"/>
                <w:szCs w:val="20"/>
                <w:lang w:bidi="ar-SA"/>
              </w:rPr>
              <w:t>Денежные финансовые обязательства</w:t>
            </w:r>
          </w:p>
        </w:tc>
        <w:tc>
          <w:tcPr>
            <w:tcW w:w="1540" w:type="dxa"/>
            <w:tcBorders/>
            <w:shd w:fill="auto" w:val="clear"/>
            <w:vAlign w:val="center"/>
          </w:tcPr>
          <w:p>
            <w:pPr>
              <w:pStyle w:val="Normal"/>
              <w:rPr>
                <w:rFonts w:ascii="Cambria" w:hAnsi="Cambria" w:eastAsia="Times New Roman"/>
                <w:b/>
                <w:b/>
                <w:bCs/>
                <w:color w:val="000000"/>
                <w:sz w:val="20"/>
                <w:szCs w:val="20"/>
                <w:lang w:bidi="ar-SA"/>
              </w:rPr>
            </w:pPr>
            <w:r>
              <w:rPr>
                <w:rFonts w:eastAsia="Times New Roman" w:ascii="Cambria" w:hAnsi="Cambria"/>
                <w:b/>
                <w:bCs/>
                <w:color w:val="000000"/>
                <w:sz w:val="20"/>
                <w:szCs w:val="20"/>
                <w:lang w:bidi="ar-SA"/>
              </w:rPr>
            </w:r>
          </w:p>
        </w:tc>
        <w:tc>
          <w:tcPr>
            <w:tcW w:w="288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6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60"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59"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75" w:hRule="atLeast"/>
        </w:trPr>
        <w:tc>
          <w:tcPr>
            <w:tcW w:w="3100"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Кредиторская задолженность </w:t>
            </w:r>
          </w:p>
        </w:tc>
        <w:tc>
          <w:tcPr>
            <w:tcW w:w="154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151 481</w:t>
            </w:r>
          </w:p>
        </w:tc>
        <w:tc>
          <w:tcPr>
            <w:tcW w:w="28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151 481</w:t>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959"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r>
      <w:tr>
        <w:trPr>
          <w:trHeight w:val="375" w:hRule="atLeast"/>
        </w:trPr>
        <w:tc>
          <w:tcPr>
            <w:tcW w:w="3100"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Займы полученные </w:t>
            </w:r>
          </w:p>
        </w:tc>
        <w:tc>
          <w:tcPr>
            <w:tcW w:w="154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132 023</w:t>
            </w:r>
          </w:p>
        </w:tc>
        <w:tc>
          <w:tcPr>
            <w:tcW w:w="288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132 023</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c>
          <w:tcPr>
            <w:tcW w:w="959"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r>
      <w:tr>
        <w:trPr>
          <w:trHeight w:val="660" w:hRule="atLeast"/>
        </w:trPr>
        <w:tc>
          <w:tcPr>
            <w:tcW w:w="3100"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Платежи по финансовой аренде </w:t>
            </w:r>
          </w:p>
        </w:tc>
        <w:tc>
          <w:tcPr>
            <w:tcW w:w="154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9 550</w:t>
            </w:r>
          </w:p>
        </w:tc>
        <w:tc>
          <w:tcPr>
            <w:tcW w:w="288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7 649</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1 900</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0</w:t>
            </w:r>
          </w:p>
        </w:tc>
        <w:tc>
          <w:tcPr>
            <w:tcW w:w="959"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r>
          </w:p>
        </w:tc>
      </w:tr>
      <w:tr>
        <w:trPr>
          <w:trHeight w:val="705" w:hRule="atLeast"/>
        </w:trPr>
        <w:tc>
          <w:tcPr>
            <w:tcW w:w="3100" w:type="dxa"/>
            <w:tcBorders/>
            <w:shd w:fill="auto" w:val="clear"/>
            <w:vAlign w:val="center"/>
          </w:tcPr>
          <w:p>
            <w:pPr>
              <w:pStyle w:val="Normal"/>
              <w:rPr>
                <w:rFonts w:ascii="Cambria" w:hAnsi="Cambria" w:eastAsia="Times New Roman"/>
                <w:b/>
                <w:b/>
                <w:bCs/>
                <w:color w:val="000000"/>
                <w:sz w:val="20"/>
                <w:szCs w:val="20"/>
                <w:lang w:bidi="ar-SA"/>
              </w:rPr>
            </w:pPr>
            <w:r>
              <w:rPr>
                <w:rFonts w:eastAsia="Times New Roman" w:ascii="Cambria" w:hAnsi="Cambria"/>
                <w:b/>
                <w:bCs/>
                <w:color w:val="000000"/>
                <w:sz w:val="20"/>
                <w:szCs w:val="20"/>
                <w:lang w:bidi="ar-SA"/>
              </w:rPr>
              <w:t>Итого будущие выплаты, включая будущие выплаты основной суммы и процентов</w:t>
            </w:r>
          </w:p>
        </w:tc>
        <w:tc>
          <w:tcPr>
            <w:tcW w:w="154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293 054</w:t>
            </w:r>
          </w:p>
        </w:tc>
        <w:tc>
          <w:tcPr>
            <w:tcW w:w="288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291 154</w:t>
            </w:r>
          </w:p>
        </w:tc>
        <w:tc>
          <w:tcPr>
            <w:tcW w:w="9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1 900</w:t>
            </w:r>
          </w:p>
        </w:tc>
        <w:tc>
          <w:tcPr>
            <w:tcW w:w="9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95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r>
    </w:tbl>
    <w:p>
      <w:pPr>
        <w:sectPr>
          <w:headerReference w:type="default" r:id="rId12"/>
          <w:footerReference w:type="default" r:id="rId13"/>
          <w:type w:val="nextPage"/>
          <w:pgSz w:w="11906" w:h="16838"/>
          <w:pgMar w:left="1701" w:right="850" w:header="708" w:top="1134" w:footer="708" w:bottom="1134" w:gutter="0"/>
          <w:pgNumType w:fmt="decimal"/>
          <w:formProt w:val="false"/>
          <w:textDirection w:val="lrTb"/>
          <w:docGrid w:type="default" w:linePitch="360" w:charSpace="0"/>
        </w:sectPr>
        <w:pStyle w:val="ABCparagrahinNotes"/>
        <w:spacing w:before="120" w:after="120"/>
        <w:rPr>
          <w:lang w:val="ru-RU"/>
        </w:rPr>
      </w:pPr>
      <w:r>
        <w:rPr>
          <w:lang w:val="ru-RU"/>
        </w:rPr>
      </w:r>
    </w:p>
    <w:p>
      <w:pPr>
        <w:pStyle w:val="Normal"/>
        <w:jc w:val="both"/>
        <w:rPr/>
      </w:pPr>
      <w:r>
        <w:rPr/>
      </w:r>
    </w:p>
    <w:tbl>
      <w:tblPr>
        <w:tblW w:w="10480" w:type="dxa"/>
        <w:jc w:val="left"/>
        <w:tblInd w:w="0" w:type="dxa"/>
        <w:tblBorders/>
        <w:tblCellMar>
          <w:top w:w="0" w:type="dxa"/>
          <w:left w:w="0" w:type="dxa"/>
          <w:bottom w:w="0" w:type="dxa"/>
          <w:right w:w="0" w:type="dxa"/>
        </w:tblCellMar>
        <w:tblLook w:firstRow="1" w:noVBand="1" w:lastRow="0" w:firstColumn="1" w:lastColumn="0" w:noHBand="0" w:val="04a0"/>
      </w:tblPr>
      <w:tblGrid>
        <w:gridCol w:w="2928"/>
        <w:gridCol w:w="222"/>
        <w:gridCol w:w="1597"/>
        <w:gridCol w:w="2861"/>
        <w:gridCol w:w="957"/>
        <w:gridCol w:w="956"/>
        <w:gridCol w:w="958"/>
      </w:tblGrid>
      <w:tr>
        <w:trPr>
          <w:trHeight w:val="375" w:hRule="atLeast"/>
        </w:trPr>
        <w:tc>
          <w:tcPr>
            <w:tcW w:w="2928" w:type="dxa"/>
            <w:vMerge w:val="restart"/>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22" w:type="dxa"/>
            <w:vMerge w:val="restart"/>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97"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4774" w:type="dxa"/>
            <w:gridSpan w:val="3"/>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Денежный поток по договору</w:t>
            </w:r>
          </w:p>
        </w:tc>
        <w:tc>
          <w:tcPr>
            <w:tcW w:w="958"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 </w:t>
            </w:r>
          </w:p>
        </w:tc>
      </w:tr>
      <w:tr>
        <w:trPr>
          <w:trHeight w:val="375" w:hRule="atLeast"/>
        </w:trPr>
        <w:tc>
          <w:tcPr>
            <w:tcW w:w="2928"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22"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97"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2861" w:type="dxa"/>
            <w:vMerge w:val="restart"/>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До 1 года</w:t>
            </w:r>
          </w:p>
        </w:tc>
        <w:tc>
          <w:tcPr>
            <w:tcW w:w="957"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956"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958" w:type="dxa"/>
            <w:vMerge w:val="restart"/>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Свыше 5 лет</w:t>
            </w:r>
          </w:p>
        </w:tc>
      </w:tr>
      <w:tr>
        <w:trPr>
          <w:trHeight w:val="585" w:hRule="atLeast"/>
        </w:trPr>
        <w:tc>
          <w:tcPr>
            <w:tcW w:w="2928"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22"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97"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 xml:space="preserve">Балансовая стоимость </w:t>
            </w:r>
          </w:p>
        </w:tc>
        <w:tc>
          <w:tcPr>
            <w:tcW w:w="2861"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957" w:type="dxa"/>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956"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58"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r>
      <w:tr>
        <w:trPr>
          <w:trHeight w:val="510" w:hRule="atLeast"/>
        </w:trPr>
        <w:tc>
          <w:tcPr>
            <w:tcW w:w="2928"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22"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597"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на 31 декабря 2018 года</w:t>
            </w:r>
          </w:p>
        </w:tc>
        <w:tc>
          <w:tcPr>
            <w:tcW w:w="2861"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c>
          <w:tcPr>
            <w:tcW w:w="957"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От 1 года до 2 лет</w:t>
            </w:r>
          </w:p>
        </w:tc>
        <w:tc>
          <w:tcPr>
            <w:tcW w:w="956"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t>От 2 до 5 лет</w:t>
            </w:r>
          </w:p>
        </w:tc>
        <w:tc>
          <w:tcPr>
            <w:tcW w:w="958"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cs="Calibri"/>
                <w:b/>
                <w:b/>
                <w:bCs/>
                <w:color w:val="000000"/>
                <w:sz w:val="18"/>
                <w:szCs w:val="18"/>
                <w:lang w:bidi="ar-SA"/>
              </w:rPr>
            </w:pPr>
            <w:r>
              <w:rPr>
                <w:rFonts w:eastAsia="Times New Roman" w:cs="Calibri" w:ascii="Cambria" w:hAnsi="Cambria"/>
                <w:b/>
                <w:bCs/>
                <w:color w:val="000000"/>
                <w:sz w:val="18"/>
                <w:szCs w:val="18"/>
                <w:lang w:bidi="ar-SA"/>
              </w:rPr>
            </w:r>
          </w:p>
        </w:tc>
      </w:tr>
      <w:tr>
        <w:trPr>
          <w:trHeight w:val="375" w:hRule="atLeast"/>
        </w:trPr>
        <w:tc>
          <w:tcPr>
            <w:tcW w:w="2928" w:type="dxa"/>
            <w:tcBorders/>
            <w:shd w:fill="auto" w:val="clear"/>
            <w:vAlign w:val="center"/>
          </w:tcPr>
          <w:p>
            <w:pPr>
              <w:pStyle w:val="Normal"/>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Денежные финансовые обязательства</w:t>
            </w:r>
          </w:p>
        </w:tc>
        <w:tc>
          <w:tcPr>
            <w:tcW w:w="222" w:type="dxa"/>
            <w:tcBorders/>
            <w:shd w:fill="auto" w:val="clear"/>
            <w:vAlign w:val="center"/>
          </w:tcPr>
          <w:p>
            <w:pPr>
              <w:pStyle w:val="Normal"/>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597"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2861"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57"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56"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58" w:type="dxa"/>
            <w:tcBorders/>
            <w:shd w:fill="auto" w:val="clear"/>
            <w:vAlign w:val="center"/>
          </w:tcPr>
          <w:p>
            <w:pPr>
              <w:pStyle w:val="Normal"/>
              <w:jc w:val="right"/>
              <w:rPr>
                <w:rFonts w:ascii="Times New Roman" w:hAnsi="Times New Roman" w:eastAsia="Times New Roman"/>
                <w:sz w:val="20"/>
                <w:szCs w:val="20"/>
                <w:lang w:bidi="ar-SA"/>
              </w:rPr>
            </w:pPr>
            <w:r>
              <w:rPr>
                <w:rFonts w:eastAsia="Times New Roman" w:ascii="Times New Roman" w:hAnsi="Times New Roman"/>
                <w:sz w:val="20"/>
                <w:szCs w:val="20"/>
                <w:lang w:bidi="ar-SA"/>
              </w:rPr>
            </w:r>
          </w:p>
        </w:tc>
      </w:tr>
      <w:tr>
        <w:trPr>
          <w:trHeight w:val="375" w:hRule="atLeast"/>
        </w:trPr>
        <w:tc>
          <w:tcPr>
            <w:tcW w:w="2928"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 xml:space="preserve">Кредиторская задолженность </w:t>
            </w:r>
          </w:p>
        </w:tc>
        <w:tc>
          <w:tcPr>
            <w:tcW w:w="222"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597" w:type="dxa"/>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170 313</w:t>
            </w:r>
          </w:p>
        </w:tc>
        <w:tc>
          <w:tcPr>
            <w:tcW w:w="2861" w:type="dxa"/>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170 313</w:t>
            </w:r>
          </w:p>
        </w:tc>
        <w:tc>
          <w:tcPr>
            <w:tcW w:w="957" w:type="dxa"/>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w:t>
            </w:r>
          </w:p>
        </w:tc>
        <w:tc>
          <w:tcPr>
            <w:tcW w:w="956" w:type="dxa"/>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w:t>
            </w:r>
          </w:p>
        </w:tc>
        <w:tc>
          <w:tcPr>
            <w:tcW w:w="958"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r>
      <w:tr>
        <w:trPr>
          <w:trHeight w:val="375" w:hRule="atLeast"/>
        </w:trPr>
        <w:tc>
          <w:tcPr>
            <w:tcW w:w="2928"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 xml:space="preserve">Займы полученные </w:t>
            </w:r>
          </w:p>
        </w:tc>
        <w:tc>
          <w:tcPr>
            <w:tcW w:w="222"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597"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99 485</w:t>
            </w:r>
          </w:p>
        </w:tc>
        <w:tc>
          <w:tcPr>
            <w:tcW w:w="2861"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99 485</w:t>
            </w:r>
          </w:p>
        </w:tc>
        <w:tc>
          <w:tcPr>
            <w:tcW w:w="957"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c>
          <w:tcPr>
            <w:tcW w:w="956"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c>
          <w:tcPr>
            <w:tcW w:w="958"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r>
      <w:tr>
        <w:trPr>
          <w:trHeight w:val="375" w:hRule="atLeast"/>
        </w:trPr>
        <w:tc>
          <w:tcPr>
            <w:tcW w:w="2928"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t xml:space="preserve"> </w:t>
            </w:r>
            <w:r>
              <w:rPr>
                <w:rFonts w:eastAsia="Times New Roman" w:cs="Calibri" w:ascii="Cambria" w:hAnsi="Cambria"/>
                <w:color w:val="000000"/>
                <w:sz w:val="20"/>
                <w:szCs w:val="20"/>
                <w:lang w:bidi="ar-SA"/>
              </w:rPr>
              <w:t xml:space="preserve">Платежи по финансовой аренде </w:t>
            </w:r>
          </w:p>
        </w:tc>
        <w:tc>
          <w:tcPr>
            <w:tcW w:w="222" w:type="dxa"/>
            <w:tcBorders/>
            <w:shd w:fill="auto" w:val="clear"/>
            <w:vAlign w:val="center"/>
          </w:tcPr>
          <w:p>
            <w:pPr>
              <w:pStyle w:val="Normal"/>
              <w:rPr>
                <w:rFonts w:ascii="Cambria" w:hAnsi="Cambria" w:eastAsia="Times New Roman" w:cs="Calibri"/>
                <w:color w:val="000000"/>
                <w:sz w:val="20"/>
                <w:szCs w:val="20"/>
                <w:lang w:bidi="ar-SA"/>
              </w:rPr>
            </w:pPr>
            <w:r>
              <w:rPr>
                <w:rFonts w:eastAsia="Times New Roman" w:cs="Calibri" w:ascii="Cambria" w:hAnsi="Cambria"/>
                <w:color w:val="000000"/>
                <w:sz w:val="20"/>
                <w:szCs w:val="20"/>
                <w:lang w:bidi="ar-SA"/>
              </w:rPr>
            </w:r>
          </w:p>
        </w:tc>
        <w:tc>
          <w:tcPr>
            <w:tcW w:w="1597"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22 709</w:t>
            </w:r>
          </w:p>
        </w:tc>
        <w:tc>
          <w:tcPr>
            <w:tcW w:w="2861"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9 163</w:t>
            </w:r>
          </w:p>
        </w:tc>
        <w:tc>
          <w:tcPr>
            <w:tcW w:w="957"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7 273</w:t>
            </w:r>
          </w:p>
        </w:tc>
        <w:tc>
          <w:tcPr>
            <w:tcW w:w="956"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6 272</w:t>
            </w:r>
          </w:p>
        </w:tc>
        <w:tc>
          <w:tcPr>
            <w:tcW w:w="958"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r>
          </w:p>
        </w:tc>
      </w:tr>
      <w:tr>
        <w:trPr>
          <w:trHeight w:val="705" w:hRule="atLeast"/>
        </w:trPr>
        <w:tc>
          <w:tcPr>
            <w:tcW w:w="2928" w:type="dxa"/>
            <w:tcBorders/>
            <w:shd w:fill="auto" w:val="clear"/>
            <w:vAlign w:val="center"/>
          </w:tcPr>
          <w:p>
            <w:pPr>
              <w:pStyle w:val="Normal"/>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t>Итого будущие выплаты, включая будущие выплаты основной суммы и процентов</w:t>
            </w:r>
          </w:p>
        </w:tc>
        <w:tc>
          <w:tcPr>
            <w:tcW w:w="222" w:type="dxa"/>
            <w:tcBorders/>
            <w:shd w:fill="auto" w:val="clear"/>
            <w:vAlign w:val="center"/>
          </w:tcPr>
          <w:p>
            <w:pPr>
              <w:pStyle w:val="Normal"/>
              <w:rPr>
                <w:rFonts w:ascii="Cambria" w:hAnsi="Cambria" w:eastAsia="Times New Roman" w:cs="Calibri"/>
                <w:b/>
                <w:b/>
                <w:bCs/>
                <w:color w:val="000000"/>
                <w:sz w:val="20"/>
                <w:szCs w:val="20"/>
                <w:lang w:bidi="ar-SA"/>
              </w:rPr>
            </w:pPr>
            <w:r>
              <w:rPr>
                <w:rFonts w:eastAsia="Times New Roman" w:cs="Calibri" w:ascii="Cambria" w:hAnsi="Cambria"/>
                <w:b/>
                <w:bCs/>
                <w:color w:val="000000"/>
                <w:sz w:val="20"/>
                <w:szCs w:val="20"/>
                <w:lang w:bidi="ar-SA"/>
              </w:rPr>
            </w:r>
          </w:p>
        </w:tc>
        <w:tc>
          <w:tcPr>
            <w:tcW w:w="1597"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292 507</w:t>
            </w:r>
          </w:p>
        </w:tc>
        <w:tc>
          <w:tcPr>
            <w:tcW w:w="2861"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278 962</w:t>
            </w:r>
          </w:p>
        </w:tc>
        <w:tc>
          <w:tcPr>
            <w:tcW w:w="957"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7 273</w:t>
            </w:r>
          </w:p>
        </w:tc>
        <w:tc>
          <w:tcPr>
            <w:tcW w:w="956"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6 272</w:t>
            </w:r>
          </w:p>
        </w:tc>
        <w:tc>
          <w:tcPr>
            <w:tcW w:w="958"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s="Calibri"/>
                <w:color w:val="000000"/>
                <w:sz w:val="18"/>
                <w:szCs w:val="18"/>
                <w:lang w:bidi="ar-SA"/>
              </w:rPr>
            </w:pPr>
            <w:r>
              <w:rPr>
                <w:rFonts w:eastAsia="Times New Roman" w:cs="Calibri" w:ascii="Cambria" w:hAnsi="Cambria"/>
                <w:color w:val="000000"/>
                <w:sz w:val="18"/>
                <w:szCs w:val="18"/>
                <w:lang w:bidi="ar-SA"/>
              </w:rPr>
              <w:t>-</w:t>
            </w:r>
          </w:p>
        </w:tc>
      </w:tr>
    </w:tbl>
    <w:p>
      <w:pPr>
        <w:pStyle w:val="Normal"/>
        <w:jc w:val="both"/>
        <w:rPr/>
      </w:pPr>
      <w:r>
        <w:rPr/>
      </w:r>
    </w:p>
    <w:p>
      <w:pPr>
        <w:pStyle w:val="Normal"/>
        <w:jc w:val="both"/>
        <w:rPr/>
      </w:pPr>
      <w:r>
        <w:rPr/>
      </w:r>
    </w:p>
    <w:p>
      <w:pPr>
        <w:pStyle w:val="Normal"/>
        <w:jc w:val="both"/>
        <w:rPr/>
      </w:pPr>
      <w:r>
        <w:rPr/>
      </w:r>
    </w:p>
    <w:tbl>
      <w:tblPr>
        <w:tblW w:w="11060" w:type="dxa"/>
        <w:jc w:val="left"/>
        <w:tblInd w:w="1" w:type="dxa"/>
        <w:tblBorders/>
        <w:tblCellMar>
          <w:top w:w="0" w:type="dxa"/>
          <w:left w:w="108" w:type="dxa"/>
          <w:bottom w:w="0" w:type="dxa"/>
          <w:right w:w="108" w:type="dxa"/>
        </w:tblCellMar>
        <w:tblLook w:firstRow="1" w:noVBand="1" w:lastRow="0" w:firstColumn="1" w:lastColumn="0" w:noHBand="0" w:val="04a0"/>
      </w:tblPr>
      <w:tblGrid>
        <w:gridCol w:w="3379"/>
        <w:gridCol w:w="1381"/>
        <w:gridCol w:w="3280"/>
        <w:gridCol w:w="1099"/>
        <w:gridCol w:w="960"/>
        <w:gridCol w:w="960"/>
      </w:tblGrid>
      <w:tr>
        <w:trPr>
          <w:trHeight w:val="375" w:hRule="atLeast"/>
        </w:trPr>
        <w:tc>
          <w:tcPr>
            <w:tcW w:w="3379" w:type="dxa"/>
            <w:vMerge w:val="restart"/>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381"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5339" w:type="dxa"/>
            <w:gridSpan w:val="3"/>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Денежный поток по договору</w:t>
            </w:r>
          </w:p>
        </w:tc>
        <w:tc>
          <w:tcPr>
            <w:tcW w:w="9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 </w:t>
            </w:r>
          </w:p>
        </w:tc>
      </w:tr>
      <w:tr>
        <w:trPr>
          <w:trHeight w:val="375" w:hRule="atLeast"/>
        </w:trPr>
        <w:tc>
          <w:tcPr>
            <w:tcW w:w="3379"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381"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3280" w:type="dxa"/>
            <w:vMerge w:val="restart"/>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До 1 года</w:t>
            </w:r>
          </w:p>
        </w:tc>
        <w:tc>
          <w:tcPr>
            <w:tcW w:w="1099"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vMerge w:val="restart"/>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Свыше 5 лет</w:t>
            </w:r>
          </w:p>
        </w:tc>
      </w:tr>
      <w:tr>
        <w:trPr>
          <w:trHeight w:val="585" w:hRule="atLeast"/>
        </w:trPr>
        <w:tc>
          <w:tcPr>
            <w:tcW w:w="3379"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381"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 xml:space="preserve">Балансовая стоимость </w:t>
            </w:r>
          </w:p>
        </w:tc>
        <w:tc>
          <w:tcPr>
            <w:tcW w:w="3280"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099" w:type="dxa"/>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960" w:type="dxa"/>
            <w:tcBorders/>
            <w:shd w:fill="auto" w:val="clear"/>
            <w:vAlign w:val="center"/>
          </w:tcPr>
          <w:p>
            <w:pPr>
              <w:pStyle w:val="Normal"/>
              <w:jc w:val="center"/>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960"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r>
      <w:tr>
        <w:trPr>
          <w:trHeight w:val="510" w:hRule="atLeast"/>
        </w:trPr>
        <w:tc>
          <w:tcPr>
            <w:tcW w:w="3379" w:type="dxa"/>
            <w:vMerge w:val="continue"/>
            <w:tcBorders/>
            <w:shd w:fill="auto" w:val="clear"/>
            <w:vAlign w:val="center"/>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381"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на 01 января 2017 года</w:t>
            </w:r>
          </w:p>
        </w:tc>
        <w:tc>
          <w:tcPr>
            <w:tcW w:w="3280"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099"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От 1 года до 2 лет</w:t>
            </w:r>
          </w:p>
        </w:tc>
        <w:tc>
          <w:tcPr>
            <w:tcW w:w="960" w:type="dxa"/>
            <w:tcBorders>
              <w:bottom w:val="single" w:sz="8" w:space="0" w:color="000000"/>
              <w:insideH w:val="single" w:sz="8" w:space="0" w:color="000000"/>
            </w:tcBorders>
            <w:shd w:fill="auto" w:val="clear"/>
            <w:vAlign w:val="center"/>
          </w:tcPr>
          <w:p>
            <w:pPr>
              <w:pStyle w:val="Normal"/>
              <w:jc w:val="center"/>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От 2 до 5 лет</w:t>
            </w:r>
          </w:p>
        </w:tc>
        <w:tc>
          <w:tcPr>
            <w:tcW w:w="960" w:type="dxa"/>
            <w:vMerge w:val="continue"/>
            <w:tcBorders>
              <w:bottom w:val="single" w:sz="8" w:space="0" w:color="000000"/>
              <w:insideH w:val="single" w:sz="8" w:space="0" w:color="000000"/>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r>
      <w:tr>
        <w:trPr>
          <w:trHeight w:val="525" w:hRule="atLeast"/>
        </w:trPr>
        <w:tc>
          <w:tcPr>
            <w:tcW w:w="3379" w:type="dxa"/>
            <w:tcBorders/>
            <w:shd w:fill="auto" w:val="clear"/>
            <w:vAlign w:val="center"/>
          </w:tcPr>
          <w:p>
            <w:pPr>
              <w:pStyle w:val="Normal"/>
              <w:rPr>
                <w:rFonts w:ascii="Cambria" w:hAnsi="Cambria" w:eastAsia="Times New Roman"/>
                <w:b/>
                <w:b/>
                <w:bCs/>
                <w:color w:val="000000"/>
                <w:sz w:val="20"/>
                <w:szCs w:val="20"/>
                <w:lang w:bidi="ar-SA"/>
              </w:rPr>
            </w:pPr>
            <w:r>
              <w:rPr>
                <w:rFonts w:eastAsia="Times New Roman" w:ascii="Cambria" w:hAnsi="Cambria"/>
                <w:b/>
                <w:bCs/>
                <w:color w:val="000000"/>
                <w:sz w:val="20"/>
                <w:szCs w:val="20"/>
                <w:lang w:bidi="ar-SA"/>
              </w:rPr>
              <w:t>Денежные финансовые обязательства</w:t>
            </w:r>
          </w:p>
        </w:tc>
        <w:tc>
          <w:tcPr>
            <w:tcW w:w="1381"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328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1099"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96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96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r>
      <w:tr>
        <w:trPr>
          <w:trHeight w:val="375" w:hRule="atLeast"/>
        </w:trPr>
        <w:tc>
          <w:tcPr>
            <w:tcW w:w="3379"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Кредиторская задолженность </w:t>
            </w:r>
          </w:p>
        </w:tc>
        <w:tc>
          <w:tcPr>
            <w:tcW w:w="138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54 315</w:t>
            </w:r>
          </w:p>
        </w:tc>
        <w:tc>
          <w:tcPr>
            <w:tcW w:w="32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54 315</w:t>
            </w:r>
          </w:p>
        </w:tc>
        <w:tc>
          <w:tcPr>
            <w:tcW w:w="109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r>
      <w:tr>
        <w:trPr>
          <w:trHeight w:val="375" w:hRule="atLeast"/>
        </w:trPr>
        <w:tc>
          <w:tcPr>
            <w:tcW w:w="3379"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Займы полученные </w:t>
            </w:r>
          </w:p>
        </w:tc>
        <w:tc>
          <w:tcPr>
            <w:tcW w:w="1381"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6 000</w:t>
            </w:r>
          </w:p>
        </w:tc>
        <w:tc>
          <w:tcPr>
            <w:tcW w:w="328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6 000</w:t>
            </w:r>
          </w:p>
        </w:tc>
        <w:tc>
          <w:tcPr>
            <w:tcW w:w="1099"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w:t>
            </w:r>
          </w:p>
        </w:tc>
      </w:tr>
      <w:tr>
        <w:trPr>
          <w:trHeight w:val="660" w:hRule="atLeast"/>
        </w:trPr>
        <w:tc>
          <w:tcPr>
            <w:tcW w:w="3379" w:type="dxa"/>
            <w:tcBorders/>
            <w:shd w:fill="auto" w:val="clear"/>
            <w:vAlign w:val="center"/>
          </w:tcPr>
          <w:p>
            <w:pPr>
              <w:pStyle w:val="Normal"/>
              <w:rPr>
                <w:rFonts w:ascii="Cambria" w:hAnsi="Cambria" w:eastAsia="Times New Roman"/>
                <w:color w:val="000000"/>
                <w:sz w:val="20"/>
                <w:szCs w:val="20"/>
                <w:lang w:bidi="ar-SA"/>
              </w:rPr>
            </w:pPr>
            <w:r>
              <w:rPr>
                <w:rFonts w:eastAsia="Times New Roman" w:ascii="Cambria" w:hAnsi="Cambria"/>
                <w:color w:val="000000"/>
                <w:sz w:val="20"/>
                <w:szCs w:val="20"/>
                <w:lang w:bidi="ar-SA"/>
              </w:rPr>
              <w:t xml:space="preserve"> </w:t>
            </w:r>
            <w:r>
              <w:rPr>
                <w:rFonts w:eastAsia="Times New Roman" w:ascii="Cambria" w:hAnsi="Cambria"/>
                <w:color w:val="000000"/>
                <w:sz w:val="20"/>
                <w:szCs w:val="20"/>
                <w:lang w:bidi="ar-SA"/>
              </w:rPr>
              <w:t xml:space="preserve">Платежи по финансовой аренде </w:t>
            </w:r>
          </w:p>
        </w:tc>
        <w:tc>
          <w:tcPr>
            <w:tcW w:w="1381"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17 189</w:t>
            </w:r>
          </w:p>
        </w:tc>
        <w:tc>
          <w:tcPr>
            <w:tcW w:w="328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7 649</w:t>
            </w:r>
          </w:p>
        </w:tc>
        <w:tc>
          <w:tcPr>
            <w:tcW w:w="1099"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7 639</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t>1 900</w:t>
            </w:r>
          </w:p>
        </w:tc>
        <w:tc>
          <w:tcPr>
            <w:tcW w:w="960" w:type="dxa"/>
            <w:tcBorders/>
            <w:shd w:fill="auto" w:val="clear"/>
            <w:vAlign w:val="center"/>
          </w:tcPr>
          <w:p>
            <w:pPr>
              <w:pStyle w:val="Normal"/>
              <w:jc w:val="right"/>
              <w:rPr>
                <w:rFonts w:ascii="Cambria" w:hAnsi="Cambria" w:eastAsia="Times New Roman" w:cs="Arial"/>
                <w:color w:val="000000"/>
                <w:sz w:val="18"/>
                <w:szCs w:val="18"/>
                <w:lang w:bidi="ar-SA"/>
              </w:rPr>
            </w:pPr>
            <w:r>
              <w:rPr>
                <w:rFonts w:eastAsia="Times New Roman" w:cs="Arial" w:ascii="Cambria" w:hAnsi="Cambria"/>
                <w:color w:val="000000"/>
                <w:sz w:val="18"/>
                <w:szCs w:val="18"/>
                <w:lang w:bidi="ar-SA"/>
              </w:rPr>
            </w:r>
          </w:p>
        </w:tc>
      </w:tr>
      <w:tr>
        <w:trPr>
          <w:trHeight w:val="705" w:hRule="atLeast"/>
        </w:trPr>
        <w:tc>
          <w:tcPr>
            <w:tcW w:w="3379" w:type="dxa"/>
            <w:tcBorders/>
            <w:shd w:fill="auto" w:val="clear"/>
            <w:vAlign w:val="center"/>
          </w:tcPr>
          <w:p>
            <w:pPr>
              <w:pStyle w:val="Normal"/>
              <w:rPr>
                <w:rFonts w:ascii="Cambria" w:hAnsi="Cambria" w:eastAsia="Times New Roman"/>
                <w:b/>
                <w:b/>
                <w:bCs/>
                <w:color w:val="000000"/>
                <w:sz w:val="20"/>
                <w:szCs w:val="20"/>
                <w:lang w:bidi="ar-SA"/>
              </w:rPr>
            </w:pPr>
            <w:r>
              <w:rPr>
                <w:rFonts w:eastAsia="Times New Roman" w:ascii="Cambria" w:hAnsi="Cambria"/>
                <w:b/>
                <w:bCs/>
                <w:color w:val="000000"/>
                <w:sz w:val="20"/>
                <w:szCs w:val="20"/>
                <w:lang w:bidi="ar-SA"/>
              </w:rPr>
              <w:t>Итого будущие выплаты, включая будущие выплаты основной суммы и процентов</w:t>
            </w:r>
          </w:p>
        </w:tc>
        <w:tc>
          <w:tcPr>
            <w:tcW w:w="1381"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77 504</w:t>
            </w:r>
          </w:p>
        </w:tc>
        <w:tc>
          <w:tcPr>
            <w:tcW w:w="328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67 965</w:t>
            </w:r>
          </w:p>
        </w:tc>
        <w:tc>
          <w:tcPr>
            <w:tcW w:w="1099"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7 639</w:t>
            </w:r>
          </w:p>
        </w:tc>
        <w:tc>
          <w:tcPr>
            <w:tcW w:w="9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1 900</w:t>
            </w:r>
          </w:p>
        </w:tc>
        <w:tc>
          <w:tcPr>
            <w:tcW w:w="960" w:type="dxa"/>
            <w:tcBorders>
              <w:top w:val="single" w:sz="8" w:space="0" w:color="000000"/>
              <w:bottom w:val="double" w:sz="6" w:space="0" w:color="000000"/>
              <w:insideH w:val="double" w:sz="6"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r>
    </w:tbl>
    <w:p>
      <w:pPr>
        <w:sectPr>
          <w:headerReference w:type="default" r:id="rId14"/>
          <w:footerReference w:type="default" r:id="rId15"/>
          <w:type w:val="nextPage"/>
          <w:pgSz w:orient="landscape" w:w="16838" w:h="11906"/>
          <w:pgMar w:left="1134" w:right="1134" w:header="708" w:top="1701" w:footer="708" w:bottom="850" w:gutter="0"/>
          <w:pgNumType w:fmt="decimal"/>
          <w:formProt w:val="false"/>
          <w:textDirection w:val="lrTb"/>
          <w:docGrid w:type="default" w:linePitch="360" w:charSpace="0"/>
        </w:sectPr>
      </w:pPr>
    </w:p>
    <w:p>
      <w:pPr>
        <w:pStyle w:val="Normal"/>
        <w:spacing w:before="120" w:after="120"/>
        <w:ind w:right="134" w:hanging="0"/>
        <w:jc w:val="both"/>
        <w:rPr>
          <w:rFonts w:ascii="Cambria" w:hAnsi="Cambria" w:eastAsia="Times New Roman" w:cs="Arial"/>
          <w:b/>
          <w:b/>
          <w:sz w:val="20"/>
          <w:szCs w:val="20"/>
        </w:rPr>
      </w:pPr>
      <w:r>
        <w:rPr>
          <w:rFonts w:eastAsia="Times New Roman" w:cs="Arial" w:ascii="Cambria" w:hAnsi="Cambria"/>
          <w:b/>
          <w:sz w:val="20"/>
          <w:szCs w:val="20"/>
        </w:rPr>
        <w:t>Управление капиталом</w:t>
      </w:r>
    </w:p>
    <w:p>
      <w:pPr>
        <w:pStyle w:val="ABCparagrahinNotes"/>
        <w:spacing w:before="120" w:after="120"/>
        <w:rPr>
          <w:rFonts w:ascii="Cambria" w:hAnsi="Cambria"/>
          <w:lang w:val="ru-RU"/>
        </w:rPr>
      </w:pPr>
      <w:r>
        <w:rPr>
          <w:rFonts w:ascii="Cambria" w:hAnsi="Cambria"/>
          <w:lang w:val="ru-RU"/>
        </w:rPr>
        <w:t>Капитал включает в себя уставный капитал, добавочный капитал и все прочие фонды в составе капитала, приходящиеся на собственников материнской компании. Основной целью Группы в отношении управления капиталом является максимизация акционерной стоимости.</w:t>
      </w:r>
    </w:p>
    <w:p>
      <w:pPr>
        <w:pStyle w:val="Normal"/>
        <w:spacing w:before="120" w:after="120"/>
        <w:ind w:right="134" w:hanging="0"/>
        <w:jc w:val="both"/>
        <w:rPr>
          <w:rFonts w:ascii="Cambria" w:hAnsi="Cambria"/>
          <w:sz w:val="20"/>
          <w:szCs w:val="20"/>
        </w:rPr>
      </w:pPr>
      <w:r>
        <w:rPr>
          <w:rFonts w:ascii="Cambria" w:hAnsi="Cambria"/>
          <w:sz w:val="20"/>
          <w:szCs w:val="20"/>
        </w:rPr>
        <w:t>Группа управляет структурой капитала и изменяет ее в соответствии с изменениями экономических условий и требованиями договорных условий. С целью сохранения или изменения структуры капитала Группа может регулировать выплаты дивидендов и прочих выплат. Группа осуществляет контроль над капиталом с помощью коэффициента финансового рычага, который рассчитывается как отношение чистой задолженности к сумме капитала и чистой задолженности. В чистую задолженность включаются процентные кредиты и займы, обязательство по финансовой аренде и торговая и прочая кредиторская задолженность за вычетом денежных средств и их эквивалентов.</w:t>
      </w:r>
    </w:p>
    <w:p>
      <w:pPr>
        <w:pStyle w:val="Normal"/>
        <w:jc w:val="both"/>
        <w:rPr/>
      </w:pPr>
      <w:r>
        <w:rPr/>
      </w:r>
    </w:p>
    <w:tbl>
      <w:tblPr>
        <w:tblW w:w="7943" w:type="dxa"/>
        <w:jc w:val="left"/>
        <w:tblInd w:w="1" w:type="dxa"/>
        <w:tblBorders/>
        <w:tblCellMar>
          <w:top w:w="0" w:type="dxa"/>
          <w:left w:w="108" w:type="dxa"/>
          <w:bottom w:w="0" w:type="dxa"/>
          <w:right w:w="108" w:type="dxa"/>
        </w:tblCellMar>
        <w:tblLook w:firstRow="1" w:noVBand="1" w:lastRow="0" w:firstColumn="1" w:lastColumn="0" w:noHBand="0" w:val="04a0"/>
      </w:tblPr>
      <w:tblGrid>
        <w:gridCol w:w="3380"/>
        <w:gridCol w:w="1380"/>
        <w:gridCol w:w="280"/>
        <w:gridCol w:w="1189"/>
        <w:gridCol w:w="236"/>
        <w:gridCol w:w="1477"/>
      </w:tblGrid>
      <w:tr>
        <w:trPr>
          <w:trHeight w:val="495" w:hRule="atLeast"/>
        </w:trPr>
        <w:tc>
          <w:tcPr>
            <w:tcW w:w="3380" w:type="dxa"/>
            <w:tcBorders/>
            <w:shd w:fill="auto" w:val="clear"/>
            <w:vAlign w:val="bottom"/>
          </w:tcPr>
          <w:p>
            <w:pPr>
              <w:pStyle w:val="Normal"/>
              <w:rPr>
                <w:rFonts w:ascii="Times New Roman" w:hAnsi="Times New Roman" w:eastAsia="Times New Roman"/>
                <w:sz w:val="20"/>
                <w:szCs w:val="20"/>
                <w:lang w:bidi="ar-SA"/>
              </w:rPr>
            </w:pPr>
            <w:r>
              <w:rPr>
                <w:rFonts w:eastAsia="Times New Roman" w:ascii="Times New Roman" w:hAnsi="Times New Roman"/>
                <w:sz w:val="20"/>
                <w:szCs w:val="20"/>
                <w:lang w:bidi="ar-SA"/>
              </w:rPr>
            </w:r>
          </w:p>
        </w:tc>
        <w:tc>
          <w:tcPr>
            <w:tcW w:w="1380" w:type="dxa"/>
            <w:tcBorders>
              <w:bottom w:val="single" w:sz="8" w:space="0" w:color="000000"/>
              <w:insideH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31 декабря 2018</w:t>
            </w:r>
          </w:p>
        </w:tc>
        <w:tc>
          <w:tcPr>
            <w:tcW w:w="280" w:type="dxa"/>
            <w:tcBorders/>
            <w:shd w:fill="auto" w:val="clear"/>
            <w:vAlign w:val="bottom"/>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89" w:type="dxa"/>
            <w:tcBorders>
              <w:bottom w:val="single" w:sz="8" w:space="0" w:color="000000"/>
              <w:insideH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31 декабря 2017</w:t>
            </w:r>
          </w:p>
        </w:tc>
        <w:tc>
          <w:tcPr>
            <w:tcW w:w="236" w:type="dxa"/>
            <w:tcBorders/>
            <w:shd w:fill="auto" w:val="clear"/>
            <w:vAlign w:val="bottom"/>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477" w:type="dxa"/>
            <w:tcBorders>
              <w:bottom w:val="single" w:sz="8" w:space="0" w:color="000000"/>
              <w:insideH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01 января 2017</w:t>
            </w:r>
          </w:p>
        </w:tc>
      </w:tr>
      <w:tr>
        <w:trPr>
          <w:trHeight w:val="300" w:hRule="atLeast"/>
        </w:trPr>
        <w:tc>
          <w:tcPr>
            <w:tcW w:w="338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t>Процентные кредиты и займы</w:t>
            </w:r>
          </w:p>
        </w:tc>
        <w:tc>
          <w:tcPr>
            <w:tcW w:w="13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99 485</w:t>
            </w:r>
          </w:p>
        </w:tc>
        <w:tc>
          <w:tcPr>
            <w:tcW w:w="2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132 023</w:t>
            </w:r>
          </w:p>
        </w:tc>
        <w:tc>
          <w:tcPr>
            <w:tcW w:w="236" w:type="dxa"/>
            <w:tcBorders/>
            <w:shd w:fill="auto" w:val="clear"/>
            <w:vAlign w:val="bottom"/>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47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6 000</w:t>
            </w:r>
          </w:p>
        </w:tc>
      </w:tr>
      <w:tr>
        <w:trPr>
          <w:trHeight w:val="300" w:hRule="atLeast"/>
        </w:trPr>
        <w:tc>
          <w:tcPr>
            <w:tcW w:w="338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t>Обязательства по финансовой аренде</w:t>
            </w:r>
          </w:p>
        </w:tc>
        <w:tc>
          <w:tcPr>
            <w:tcW w:w="13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18 834</w:t>
            </w:r>
          </w:p>
        </w:tc>
        <w:tc>
          <w:tcPr>
            <w:tcW w:w="2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8 228</w:t>
            </w:r>
          </w:p>
        </w:tc>
        <w:tc>
          <w:tcPr>
            <w:tcW w:w="236" w:type="dxa"/>
            <w:tcBorders/>
            <w:shd w:fill="auto" w:val="clear"/>
            <w:vAlign w:val="bottom"/>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47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13 302</w:t>
            </w:r>
          </w:p>
        </w:tc>
      </w:tr>
      <w:tr>
        <w:trPr>
          <w:trHeight w:val="480" w:hRule="atLeast"/>
        </w:trPr>
        <w:tc>
          <w:tcPr>
            <w:tcW w:w="338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t>Торговая и прочая кредиторская задолженность</w:t>
            </w:r>
          </w:p>
        </w:tc>
        <w:tc>
          <w:tcPr>
            <w:tcW w:w="13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173 591</w:t>
            </w:r>
          </w:p>
        </w:tc>
        <w:tc>
          <w:tcPr>
            <w:tcW w:w="2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151 481</w:t>
            </w:r>
          </w:p>
        </w:tc>
        <w:tc>
          <w:tcPr>
            <w:tcW w:w="236" w:type="dxa"/>
            <w:tcBorders/>
            <w:shd w:fill="auto" w:val="clear"/>
            <w:vAlign w:val="bottom"/>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47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54 315</w:t>
            </w:r>
          </w:p>
        </w:tc>
      </w:tr>
      <w:tr>
        <w:trPr>
          <w:trHeight w:val="300" w:hRule="exact"/>
        </w:trPr>
        <w:tc>
          <w:tcPr>
            <w:tcW w:w="3380" w:type="dxa"/>
            <w:tcBorders/>
            <w:shd w:fill="auto" w:val="clear"/>
            <w:vAlign w:val="bottom"/>
          </w:tcPr>
          <w:p>
            <w:pPr>
              <w:pStyle w:val="Normal"/>
              <w:jc w:val="right"/>
              <w:rPr>
                <w:rFonts w:ascii="Calibri" w:hAnsi="Calibri" w:eastAsia="Times New Roman"/>
                <w:color w:val="000000"/>
                <w:sz w:val="18"/>
                <w:szCs w:val="18"/>
                <w:lang w:bidi="ar-SA"/>
              </w:rPr>
            </w:pPr>
            <w:r>
              <w:rPr>
                <w:rFonts w:eastAsia="Times New Roman"/>
                <w:color w:val="000000"/>
                <w:sz w:val="18"/>
                <w:szCs w:val="18"/>
                <w:lang w:bidi="ar-SA"/>
              </w:rPr>
            </w:r>
          </w:p>
        </w:tc>
        <w:tc>
          <w:tcPr>
            <w:tcW w:w="1380" w:type="dxa"/>
            <w:tcBorders/>
            <w:shd w:fill="auto" w:val="clear"/>
            <w:vAlign w:val="center"/>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280" w:type="dxa"/>
            <w:tcBorders/>
            <w:shd w:fill="auto" w:val="clear"/>
            <w:vAlign w:val="center"/>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1189" w:type="dxa"/>
            <w:tcBorders/>
            <w:shd w:fill="auto" w:val="clear"/>
            <w:vAlign w:val="center"/>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236" w:type="dxa"/>
            <w:tcBorders/>
            <w:shd w:fill="auto" w:val="clear"/>
            <w:vAlign w:val="bottom"/>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1477" w:type="dxa"/>
            <w:tcBorders/>
            <w:shd w:fill="auto" w:val="clear"/>
            <w:vAlign w:val="center"/>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r>
      <w:tr>
        <w:trPr>
          <w:trHeight w:val="495" w:hRule="atLeast"/>
        </w:trPr>
        <w:tc>
          <w:tcPr>
            <w:tcW w:w="338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t>За вычетом денежных средств и денежных депозитов</w:t>
            </w:r>
          </w:p>
        </w:tc>
        <w:tc>
          <w:tcPr>
            <w:tcW w:w="1380"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(95 665)</w:t>
            </w:r>
          </w:p>
        </w:tc>
        <w:tc>
          <w:tcPr>
            <w:tcW w:w="2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9"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(284 007)</w:t>
            </w:r>
          </w:p>
        </w:tc>
        <w:tc>
          <w:tcPr>
            <w:tcW w:w="236" w:type="dxa"/>
            <w:tcBorders/>
            <w:shd w:fill="auto" w:val="clear"/>
            <w:vAlign w:val="bottom"/>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477" w:type="dxa"/>
            <w:tcBorders>
              <w:bottom w:val="single" w:sz="8" w:space="0" w:color="000000"/>
              <w:insideH w:val="single" w:sz="8" w:space="0" w:color="000000"/>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(535 582)</w:t>
            </w:r>
          </w:p>
        </w:tc>
      </w:tr>
      <w:tr>
        <w:trPr>
          <w:trHeight w:val="300" w:hRule="atLeast"/>
        </w:trPr>
        <w:tc>
          <w:tcPr>
            <w:tcW w:w="3380"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t>Чистая задолженность</w:t>
            </w:r>
          </w:p>
        </w:tc>
        <w:tc>
          <w:tcPr>
            <w:tcW w:w="1380"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196 245</w:t>
            </w:r>
          </w:p>
        </w:tc>
        <w:tc>
          <w:tcPr>
            <w:tcW w:w="280"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189"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7 725</w:t>
            </w:r>
          </w:p>
        </w:tc>
        <w:tc>
          <w:tcPr>
            <w:tcW w:w="236" w:type="dxa"/>
            <w:tcBorders/>
            <w:shd w:fill="auto" w:val="clear"/>
            <w:vAlign w:val="bottom"/>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477"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(461 965)</w:t>
            </w:r>
          </w:p>
        </w:tc>
      </w:tr>
      <w:tr>
        <w:trPr>
          <w:trHeight w:val="150" w:hRule="exact"/>
        </w:trPr>
        <w:tc>
          <w:tcPr>
            <w:tcW w:w="3380" w:type="dxa"/>
            <w:tcBorders/>
            <w:shd w:fill="auto" w:val="clear"/>
            <w:vAlign w:val="bottom"/>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380" w:type="dxa"/>
            <w:tcBorders/>
            <w:shd w:fill="auto" w:val="clear"/>
            <w:vAlign w:val="bottom"/>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280" w:type="dxa"/>
            <w:tcBorders/>
            <w:shd w:fill="auto" w:val="clear"/>
            <w:vAlign w:val="bottom"/>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1189" w:type="dxa"/>
            <w:tcBorders/>
            <w:shd w:fill="auto" w:val="clear"/>
            <w:vAlign w:val="bottom"/>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236" w:type="dxa"/>
            <w:tcBorders/>
            <w:shd w:fill="auto" w:val="clear"/>
            <w:vAlign w:val="bottom"/>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c>
          <w:tcPr>
            <w:tcW w:w="1477" w:type="dxa"/>
            <w:tcBorders/>
            <w:shd w:fill="auto" w:val="clear"/>
            <w:vAlign w:val="bottom"/>
          </w:tcPr>
          <w:p>
            <w:pPr>
              <w:pStyle w:val="Normal"/>
              <w:jc w:val="right"/>
              <w:rPr>
                <w:rFonts w:ascii="Cambria" w:hAnsi="Cambria" w:eastAsia="Times New Roman"/>
                <w:sz w:val="20"/>
                <w:szCs w:val="20"/>
                <w:lang w:bidi="ar-SA"/>
              </w:rPr>
            </w:pPr>
            <w:r>
              <w:rPr>
                <w:rFonts w:eastAsia="Times New Roman" w:ascii="Cambria" w:hAnsi="Cambria"/>
                <w:sz w:val="20"/>
                <w:szCs w:val="20"/>
                <w:lang w:bidi="ar-SA"/>
              </w:rPr>
            </w:r>
          </w:p>
        </w:tc>
      </w:tr>
      <w:tr>
        <w:trPr>
          <w:trHeight w:val="300" w:hRule="atLeast"/>
        </w:trPr>
        <w:tc>
          <w:tcPr>
            <w:tcW w:w="3380"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t>Капитал</w:t>
            </w:r>
          </w:p>
        </w:tc>
        <w:tc>
          <w:tcPr>
            <w:tcW w:w="1380"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4 065 752</w:t>
            </w:r>
          </w:p>
        </w:tc>
        <w:tc>
          <w:tcPr>
            <w:tcW w:w="280"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189"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3 977 007</w:t>
            </w:r>
          </w:p>
        </w:tc>
        <w:tc>
          <w:tcPr>
            <w:tcW w:w="236" w:type="dxa"/>
            <w:tcBorders/>
            <w:shd w:fill="auto" w:val="clear"/>
            <w:vAlign w:val="bottom"/>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477"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4 157 052</w:t>
            </w:r>
          </w:p>
        </w:tc>
      </w:tr>
      <w:tr>
        <w:trPr>
          <w:trHeight w:val="480" w:hRule="atLeast"/>
        </w:trPr>
        <w:tc>
          <w:tcPr>
            <w:tcW w:w="3380"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t>Соотношение чистой финансовой задолженности к капиталу</w:t>
            </w:r>
          </w:p>
        </w:tc>
        <w:tc>
          <w:tcPr>
            <w:tcW w:w="1380"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4,83%</w:t>
            </w:r>
          </w:p>
        </w:tc>
        <w:tc>
          <w:tcPr>
            <w:tcW w:w="280"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189"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0,19%</w:t>
            </w:r>
          </w:p>
        </w:tc>
        <w:tc>
          <w:tcPr>
            <w:tcW w:w="236" w:type="dxa"/>
            <w:tcBorders/>
            <w:shd w:fill="auto" w:val="clear"/>
            <w:vAlign w:val="bottom"/>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r>
          </w:p>
        </w:tc>
        <w:tc>
          <w:tcPr>
            <w:tcW w:w="1477" w:type="dxa"/>
            <w:tcBorders/>
            <w:shd w:fill="auto" w:val="clear"/>
            <w:vAlign w:val="center"/>
          </w:tcPr>
          <w:p>
            <w:pPr>
              <w:pStyle w:val="Normal"/>
              <w:jc w:val="right"/>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-11,11%</w:t>
            </w:r>
          </w:p>
        </w:tc>
      </w:tr>
    </w:tbl>
    <w:p>
      <w:pPr>
        <w:pStyle w:val="Normal"/>
        <w:jc w:val="both"/>
        <w:rPr/>
      </w:pPr>
      <w:r>
        <w:rPr/>
      </w:r>
    </w:p>
    <w:p>
      <w:pPr>
        <w:pStyle w:val="Normal"/>
        <w:spacing w:before="120" w:after="120"/>
        <w:ind w:right="134" w:hanging="0"/>
        <w:jc w:val="both"/>
        <w:rPr>
          <w:rFonts w:ascii="Cambria" w:hAnsi="Cambria" w:eastAsia="Times New Roman" w:cs="Arial"/>
          <w:b/>
          <w:b/>
          <w:sz w:val="20"/>
          <w:szCs w:val="20"/>
        </w:rPr>
      </w:pPr>
      <w:r>
        <w:rPr>
          <w:rFonts w:eastAsia="Times New Roman" w:cs="Arial" w:ascii="Cambria" w:hAnsi="Cambria"/>
          <w:b/>
          <w:sz w:val="20"/>
          <w:szCs w:val="20"/>
        </w:rPr>
        <w:t>Справедливая стоимость</w:t>
      </w:r>
    </w:p>
    <w:p>
      <w:pPr>
        <w:pStyle w:val="ABCparagrahinNotes"/>
        <w:spacing w:before="120" w:after="120"/>
        <w:rPr>
          <w:rFonts w:ascii="Cambria" w:hAnsi="Cambria"/>
          <w:lang w:val="ru-RU"/>
        </w:rPr>
      </w:pPr>
      <w:r>
        <w:rPr>
          <w:rFonts w:ascii="Cambria" w:hAnsi="Cambria"/>
          <w:lang w:val="ru-RU"/>
        </w:rPr>
        <w:t>Руководство Группы полагает, что балансовая стоимость финансовых активов и обязательств близка к справедливой стоимости.</w:t>
      </w:r>
    </w:p>
    <w:p>
      <w:pPr>
        <w:pStyle w:val="ABCparagrahinNotes"/>
        <w:spacing w:before="120" w:after="120"/>
        <w:rPr>
          <w:rFonts w:ascii="Cambria" w:hAnsi="Cambria"/>
          <w:lang w:val="ru-RU"/>
        </w:rPr>
      </w:pPr>
      <w:r>
        <w:rPr>
          <w:rFonts w:ascii="Cambria" w:hAnsi="Cambria"/>
          <w:lang w:val="ru-RU"/>
        </w:rPr>
        <w:t>В таблице ниже представлен анализ финансовых инструментов, отраженных в отчете о финансовом положении по справедливой стоимости, в разрезе уровней иерархии оценки:</w:t>
      </w:r>
    </w:p>
    <w:p>
      <w:pPr>
        <w:pStyle w:val="Normal"/>
        <w:spacing w:before="120" w:after="120"/>
        <w:ind w:right="136" w:hanging="0"/>
        <w:rPr>
          <w:rFonts w:ascii="Cambria" w:hAnsi="Cambria" w:cs="Cambria"/>
          <w:highlight w:val="yellow"/>
          <w:lang w:bidi="ar-SA"/>
        </w:rPr>
      </w:pPr>
      <w:r>
        <w:rPr>
          <w:rFonts w:cs="Cambria" w:ascii="Cambria" w:hAnsi="Cambria"/>
          <w:highlight w:val="yellow"/>
          <w:lang w:bidi="ar-SA"/>
        </w:rPr>
      </w:r>
    </w:p>
    <w:tbl>
      <w:tblPr>
        <w:tblW w:w="7655" w:type="dxa"/>
        <w:jc w:val="left"/>
        <w:tblInd w:w="1" w:type="dxa"/>
        <w:tblBorders>
          <w:bottom w:val="single" w:sz="8" w:space="0" w:color="000000"/>
          <w:insideH w:val="single" w:sz="8" w:space="0" w:color="000000"/>
        </w:tblBorders>
        <w:tblCellMar>
          <w:top w:w="0" w:type="dxa"/>
          <w:left w:w="108" w:type="dxa"/>
          <w:bottom w:w="0" w:type="dxa"/>
          <w:right w:w="108" w:type="dxa"/>
        </w:tblCellMar>
        <w:tblLook w:firstRow="1" w:noVBand="1" w:lastRow="0" w:firstColumn="1" w:lastColumn="0" w:noHBand="0" w:val="04a0"/>
      </w:tblPr>
      <w:tblGrid>
        <w:gridCol w:w="2699"/>
        <w:gridCol w:w="222"/>
        <w:gridCol w:w="1040"/>
        <w:gridCol w:w="222"/>
        <w:gridCol w:w="960"/>
        <w:gridCol w:w="222"/>
        <w:gridCol w:w="960"/>
        <w:gridCol w:w="222"/>
        <w:gridCol w:w="1107"/>
      </w:tblGrid>
      <w:tr>
        <w:trPr>
          <w:trHeight w:val="315" w:hRule="atLeast"/>
        </w:trPr>
        <w:tc>
          <w:tcPr>
            <w:tcW w:w="2699" w:type="dxa"/>
            <w:tcBorders>
              <w:bottom w:val="single" w:sz="8" w:space="0" w:color="000000"/>
              <w:insideH w:val="single" w:sz="8" w:space="0" w:color="000000"/>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t>на 31 декабря 2018 г.</w:t>
            </w:r>
          </w:p>
        </w:tc>
        <w:tc>
          <w:tcPr>
            <w:tcW w:w="222"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040"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1</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2</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3</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07"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Итого</w:t>
            </w:r>
          </w:p>
        </w:tc>
      </w:tr>
      <w:tr>
        <w:trPr>
          <w:trHeight w:val="300" w:hRule="atLeast"/>
        </w:trPr>
        <w:tc>
          <w:tcPr>
            <w:tcW w:w="2699" w:type="dxa"/>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Финансовые активы</w:t>
            </w:r>
          </w:p>
        </w:tc>
        <w:tc>
          <w:tcPr>
            <w:tcW w:w="222"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040"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07"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r>
      <w:tr>
        <w:trPr>
          <w:trHeight w:val="675" w:hRule="atLeast"/>
        </w:trPr>
        <w:tc>
          <w:tcPr>
            <w:tcW w:w="269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Денежные средства</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104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95 665</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0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95 665</w:t>
            </w:r>
          </w:p>
        </w:tc>
      </w:tr>
      <w:tr>
        <w:trPr>
          <w:trHeight w:val="675" w:hRule="atLeast"/>
        </w:trPr>
        <w:tc>
          <w:tcPr>
            <w:tcW w:w="269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Финансовые активы, оцениваемые по справедливой стоимости</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104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363 618</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0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363 618</w:t>
            </w:r>
          </w:p>
        </w:tc>
      </w:tr>
      <w:tr>
        <w:trPr>
          <w:trHeight w:val="675" w:hRule="atLeast"/>
        </w:trPr>
        <w:tc>
          <w:tcPr>
            <w:tcW w:w="269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Займы выданные и прочие финансовые активы</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104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48</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0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48</w:t>
            </w:r>
          </w:p>
        </w:tc>
      </w:tr>
      <w:tr>
        <w:trPr>
          <w:trHeight w:val="675" w:hRule="atLeast"/>
        </w:trPr>
        <w:tc>
          <w:tcPr>
            <w:tcW w:w="269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Дебиторская задолженность</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104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539 479</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0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539 479</w:t>
            </w:r>
          </w:p>
        </w:tc>
      </w:tr>
      <w:tr>
        <w:trPr>
          <w:trHeight w:val="675" w:hRule="atLeast"/>
        </w:trPr>
        <w:tc>
          <w:tcPr>
            <w:tcW w:w="2699" w:type="dxa"/>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Финансовые обязательства</w:t>
            </w:r>
          </w:p>
        </w:tc>
        <w:tc>
          <w:tcPr>
            <w:tcW w:w="222"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04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222"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96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222"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96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222"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1107"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r>
      <w:tr>
        <w:trPr>
          <w:trHeight w:val="675" w:hRule="atLeast"/>
        </w:trPr>
        <w:tc>
          <w:tcPr>
            <w:tcW w:w="269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Кредиторская задолженность</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104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173 591</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0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173 591</w:t>
            </w:r>
          </w:p>
        </w:tc>
      </w:tr>
      <w:tr>
        <w:trPr>
          <w:trHeight w:val="675" w:hRule="atLeast"/>
        </w:trPr>
        <w:tc>
          <w:tcPr>
            <w:tcW w:w="269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Кредиты и займы</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104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99 485</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0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99 485</w:t>
            </w:r>
          </w:p>
        </w:tc>
      </w:tr>
      <w:tr>
        <w:trPr>
          <w:trHeight w:val="675" w:hRule="atLeast"/>
        </w:trPr>
        <w:tc>
          <w:tcPr>
            <w:tcW w:w="269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Обязательства по финансовой аренде</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104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18 834</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07"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18 834</w:t>
            </w:r>
          </w:p>
        </w:tc>
      </w:tr>
    </w:tbl>
    <w:p>
      <w:pPr>
        <w:pStyle w:val="Normal"/>
        <w:spacing w:before="120" w:after="120"/>
        <w:ind w:right="136" w:hanging="0"/>
        <w:rPr>
          <w:rFonts w:ascii="Cambria" w:hAnsi="Cambria" w:cs="Cambria"/>
          <w:highlight w:val="yellow"/>
          <w:lang w:bidi="ar-SA"/>
        </w:rPr>
      </w:pPr>
      <w:r>
        <w:rPr>
          <w:rFonts w:cs="Cambria" w:ascii="Cambria" w:hAnsi="Cambria"/>
          <w:highlight w:val="yellow"/>
          <w:lang w:bidi="ar-SA"/>
        </w:rPr>
      </w:r>
    </w:p>
    <w:tbl>
      <w:tblPr>
        <w:tblW w:w="7655" w:type="dxa"/>
        <w:jc w:val="left"/>
        <w:tblInd w:w="1" w:type="dxa"/>
        <w:tblBorders>
          <w:bottom w:val="single" w:sz="8" w:space="0" w:color="000000"/>
          <w:insideH w:val="single" w:sz="8" w:space="0" w:color="000000"/>
        </w:tblBorders>
        <w:tblCellMar>
          <w:top w:w="0" w:type="dxa"/>
          <w:left w:w="108" w:type="dxa"/>
          <w:bottom w:w="0" w:type="dxa"/>
          <w:right w:w="108" w:type="dxa"/>
        </w:tblCellMar>
        <w:tblLook w:firstRow="1" w:noVBand="1" w:lastRow="0" w:firstColumn="1" w:lastColumn="0" w:noHBand="0" w:val="04a0"/>
      </w:tblPr>
      <w:tblGrid>
        <w:gridCol w:w="2479"/>
        <w:gridCol w:w="222"/>
        <w:gridCol w:w="960"/>
        <w:gridCol w:w="222"/>
        <w:gridCol w:w="960"/>
        <w:gridCol w:w="222"/>
        <w:gridCol w:w="1171"/>
        <w:gridCol w:w="284"/>
        <w:gridCol w:w="1134"/>
      </w:tblGrid>
      <w:tr>
        <w:trPr>
          <w:trHeight w:val="315" w:hRule="atLeast"/>
        </w:trPr>
        <w:tc>
          <w:tcPr>
            <w:tcW w:w="2479" w:type="dxa"/>
            <w:tcBorders>
              <w:bottom w:val="single" w:sz="8" w:space="0" w:color="000000"/>
              <w:insideH w:val="single" w:sz="8" w:space="0" w:color="000000"/>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t>на 31 декабря 2017 г.</w:t>
            </w:r>
          </w:p>
        </w:tc>
        <w:tc>
          <w:tcPr>
            <w:tcW w:w="222"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1</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2</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71"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3</w:t>
            </w:r>
          </w:p>
        </w:tc>
        <w:tc>
          <w:tcPr>
            <w:tcW w:w="284"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34"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Итого</w:t>
            </w:r>
          </w:p>
        </w:tc>
      </w:tr>
      <w:tr>
        <w:trPr>
          <w:trHeight w:val="300" w:hRule="atLeast"/>
        </w:trPr>
        <w:tc>
          <w:tcPr>
            <w:tcW w:w="2479" w:type="dxa"/>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Финансовые активы</w:t>
            </w:r>
          </w:p>
        </w:tc>
        <w:tc>
          <w:tcPr>
            <w:tcW w:w="222"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71"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284"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34"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r>
      <w:tr>
        <w:trPr>
          <w:trHeight w:val="675" w:hRule="atLeast"/>
        </w:trPr>
        <w:tc>
          <w:tcPr>
            <w:tcW w:w="247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Денежные средства</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7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284 007</w:t>
            </w:r>
          </w:p>
        </w:tc>
        <w:tc>
          <w:tcPr>
            <w:tcW w:w="28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3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284 007</w:t>
            </w:r>
          </w:p>
        </w:tc>
      </w:tr>
      <w:tr>
        <w:trPr>
          <w:trHeight w:val="675" w:hRule="atLeast"/>
        </w:trPr>
        <w:tc>
          <w:tcPr>
            <w:tcW w:w="247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Финансовые активы, оцениваемые по справедливой стоимости</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7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362 841</w:t>
            </w:r>
          </w:p>
        </w:tc>
        <w:tc>
          <w:tcPr>
            <w:tcW w:w="28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3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362 841</w:t>
            </w:r>
          </w:p>
        </w:tc>
      </w:tr>
      <w:tr>
        <w:trPr>
          <w:trHeight w:val="675" w:hRule="atLeast"/>
        </w:trPr>
        <w:tc>
          <w:tcPr>
            <w:tcW w:w="247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Дебиторская задолженность</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7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90 868</w:t>
            </w:r>
          </w:p>
        </w:tc>
        <w:tc>
          <w:tcPr>
            <w:tcW w:w="28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3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90 868</w:t>
            </w:r>
          </w:p>
        </w:tc>
      </w:tr>
      <w:tr>
        <w:trPr>
          <w:trHeight w:val="675" w:hRule="atLeast"/>
        </w:trPr>
        <w:tc>
          <w:tcPr>
            <w:tcW w:w="2479" w:type="dxa"/>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Финансовые обязательства</w:t>
            </w:r>
          </w:p>
        </w:tc>
        <w:tc>
          <w:tcPr>
            <w:tcW w:w="222"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222"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96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222"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1171"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284"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1134"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r>
      <w:tr>
        <w:trPr>
          <w:trHeight w:val="675" w:hRule="atLeast"/>
        </w:trPr>
        <w:tc>
          <w:tcPr>
            <w:tcW w:w="247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Кредиторская задолженность</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7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151 481</w:t>
            </w:r>
          </w:p>
        </w:tc>
        <w:tc>
          <w:tcPr>
            <w:tcW w:w="28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3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151 481</w:t>
            </w:r>
          </w:p>
        </w:tc>
      </w:tr>
      <w:tr>
        <w:trPr>
          <w:trHeight w:val="675" w:hRule="atLeast"/>
        </w:trPr>
        <w:tc>
          <w:tcPr>
            <w:tcW w:w="247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Кредиты и займы</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7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132 023</w:t>
            </w:r>
          </w:p>
        </w:tc>
        <w:tc>
          <w:tcPr>
            <w:tcW w:w="28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3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132 023</w:t>
            </w:r>
          </w:p>
        </w:tc>
      </w:tr>
      <w:tr>
        <w:trPr>
          <w:trHeight w:val="675" w:hRule="atLeast"/>
        </w:trPr>
        <w:tc>
          <w:tcPr>
            <w:tcW w:w="247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Обязательства по финансовой аренде</w:t>
            </w:r>
          </w:p>
        </w:tc>
        <w:tc>
          <w:tcPr>
            <w:tcW w:w="222"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7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8 228</w:t>
            </w:r>
          </w:p>
        </w:tc>
        <w:tc>
          <w:tcPr>
            <w:tcW w:w="28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34"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8 228</w:t>
            </w:r>
          </w:p>
        </w:tc>
      </w:tr>
    </w:tbl>
    <w:p>
      <w:pPr>
        <w:pStyle w:val="Normal"/>
        <w:spacing w:before="120" w:after="120"/>
        <w:ind w:right="136" w:hanging="0"/>
        <w:rPr>
          <w:rFonts w:ascii="Cambria" w:hAnsi="Cambria" w:cs="Cambria"/>
          <w:highlight w:val="yellow"/>
          <w:lang w:bidi="ar-SA"/>
        </w:rPr>
      </w:pPr>
      <w:r>
        <w:rPr>
          <w:rFonts w:cs="Cambria" w:ascii="Cambria" w:hAnsi="Cambria"/>
          <w:highlight w:val="yellow"/>
          <w:lang w:bidi="ar-SA"/>
        </w:rPr>
      </w:r>
    </w:p>
    <w:tbl>
      <w:tblPr>
        <w:tblW w:w="7900" w:type="dxa"/>
        <w:jc w:val="left"/>
        <w:tblInd w:w="1" w:type="dxa"/>
        <w:tblBorders>
          <w:bottom w:val="single" w:sz="8" w:space="0" w:color="000000"/>
          <w:insideH w:val="single" w:sz="8" w:space="0" w:color="000000"/>
        </w:tblBorders>
        <w:tblCellMar>
          <w:top w:w="0" w:type="dxa"/>
          <w:left w:w="108" w:type="dxa"/>
          <w:bottom w:w="0" w:type="dxa"/>
          <w:right w:w="108" w:type="dxa"/>
        </w:tblCellMar>
        <w:tblLook w:firstRow="1" w:noVBand="1" w:lastRow="0" w:firstColumn="1" w:lastColumn="0" w:noHBand="0" w:val="04a0"/>
      </w:tblPr>
      <w:tblGrid>
        <w:gridCol w:w="2339"/>
        <w:gridCol w:w="260"/>
        <w:gridCol w:w="960"/>
        <w:gridCol w:w="341"/>
        <w:gridCol w:w="1080"/>
        <w:gridCol w:w="279"/>
        <w:gridCol w:w="1180"/>
        <w:gridCol w:w="222"/>
        <w:gridCol w:w="1238"/>
      </w:tblGrid>
      <w:tr>
        <w:trPr>
          <w:trHeight w:val="315" w:hRule="atLeast"/>
        </w:trPr>
        <w:tc>
          <w:tcPr>
            <w:tcW w:w="2339" w:type="dxa"/>
            <w:tcBorders>
              <w:bottom w:val="single" w:sz="8" w:space="0" w:color="000000"/>
              <w:insideH w:val="single" w:sz="8" w:space="0" w:color="000000"/>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t>на 01 января 2018 г.</w:t>
            </w:r>
          </w:p>
        </w:tc>
        <w:tc>
          <w:tcPr>
            <w:tcW w:w="260"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1</w:t>
            </w:r>
          </w:p>
        </w:tc>
        <w:tc>
          <w:tcPr>
            <w:tcW w:w="341"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080"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2</w:t>
            </w:r>
          </w:p>
        </w:tc>
        <w:tc>
          <w:tcPr>
            <w:tcW w:w="279"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80"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Уровень 3</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238"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Итого</w:t>
            </w:r>
          </w:p>
        </w:tc>
      </w:tr>
      <w:tr>
        <w:trPr>
          <w:trHeight w:val="300" w:hRule="atLeast"/>
        </w:trPr>
        <w:tc>
          <w:tcPr>
            <w:tcW w:w="2339"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t>Финансовые активы</w:t>
            </w:r>
          </w:p>
        </w:tc>
        <w:tc>
          <w:tcPr>
            <w:tcW w:w="260"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341"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080"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279"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180"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c>
          <w:tcPr>
            <w:tcW w:w="222" w:type="dxa"/>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1238" w:type="dxa"/>
            <w:tcBorders>
              <w:top w:val="single" w:sz="8" w:space="0" w:color="000000"/>
            </w:tcBorders>
            <w:shd w:fill="auto" w:val="clear"/>
            <w:vAlign w:val="center"/>
          </w:tcPr>
          <w:p>
            <w:pPr>
              <w:pStyle w:val="Normal"/>
              <w:jc w:val="right"/>
              <w:rPr>
                <w:rFonts w:ascii="Calibri" w:hAnsi="Calibri" w:eastAsia="Times New Roman"/>
                <w:b/>
                <w:b/>
                <w:bCs/>
                <w:color w:val="000000"/>
                <w:sz w:val="18"/>
                <w:szCs w:val="18"/>
                <w:lang w:bidi="ar-SA"/>
              </w:rPr>
            </w:pPr>
            <w:r>
              <w:rPr>
                <w:rFonts w:eastAsia="Times New Roman"/>
                <w:b/>
                <w:bCs/>
                <w:color w:val="000000"/>
                <w:sz w:val="18"/>
                <w:szCs w:val="18"/>
                <w:lang w:bidi="ar-SA"/>
              </w:rPr>
              <w:t> </w:t>
            </w:r>
          </w:p>
        </w:tc>
      </w:tr>
      <w:tr>
        <w:trPr>
          <w:trHeight w:val="675" w:hRule="atLeast"/>
        </w:trPr>
        <w:tc>
          <w:tcPr>
            <w:tcW w:w="233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Денежные средства</w:t>
            </w:r>
          </w:p>
        </w:tc>
        <w:tc>
          <w:tcPr>
            <w:tcW w:w="26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34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0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7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535 582</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238"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535 582</w:t>
            </w:r>
          </w:p>
        </w:tc>
      </w:tr>
      <w:tr>
        <w:trPr>
          <w:trHeight w:val="675" w:hRule="atLeast"/>
        </w:trPr>
        <w:tc>
          <w:tcPr>
            <w:tcW w:w="233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Финансовые активы, оцениваемые по справедливой стоимости</w:t>
            </w:r>
          </w:p>
        </w:tc>
        <w:tc>
          <w:tcPr>
            <w:tcW w:w="26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34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0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7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367 060</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238"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367 060</w:t>
            </w:r>
          </w:p>
        </w:tc>
      </w:tr>
      <w:tr>
        <w:trPr>
          <w:trHeight w:val="675" w:hRule="atLeast"/>
        </w:trPr>
        <w:tc>
          <w:tcPr>
            <w:tcW w:w="233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Займы выданные и прочие финансовые активы</w:t>
            </w:r>
          </w:p>
        </w:tc>
        <w:tc>
          <w:tcPr>
            <w:tcW w:w="26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34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0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7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0</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238"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0</w:t>
            </w:r>
          </w:p>
        </w:tc>
      </w:tr>
      <w:tr>
        <w:trPr>
          <w:trHeight w:val="675" w:hRule="atLeast"/>
        </w:trPr>
        <w:tc>
          <w:tcPr>
            <w:tcW w:w="233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Дебиторская задолженность</w:t>
            </w:r>
          </w:p>
        </w:tc>
        <w:tc>
          <w:tcPr>
            <w:tcW w:w="26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34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0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7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199 199</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238"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199 199</w:t>
            </w:r>
          </w:p>
        </w:tc>
      </w:tr>
      <w:tr>
        <w:trPr>
          <w:trHeight w:val="675" w:hRule="atLeast"/>
        </w:trPr>
        <w:tc>
          <w:tcPr>
            <w:tcW w:w="2339" w:type="dxa"/>
            <w:tcBorders/>
            <w:shd w:fill="auto" w:val="clear"/>
            <w:vAlign w:val="center"/>
          </w:tcPr>
          <w:p>
            <w:pPr>
              <w:pStyle w:val="Normal"/>
              <w:rPr>
                <w:rFonts w:ascii="Cambria" w:hAnsi="Cambria" w:eastAsia="Times New Roman"/>
                <w:b/>
                <w:b/>
                <w:bCs/>
                <w:color w:val="000000"/>
                <w:sz w:val="18"/>
                <w:szCs w:val="18"/>
                <w:lang w:bidi="ar-SA"/>
              </w:rPr>
            </w:pPr>
            <w:r>
              <w:rPr>
                <w:rFonts w:eastAsia="Times New Roman" w:ascii="Cambria" w:hAnsi="Cambria"/>
                <w:b/>
                <w:bCs/>
                <w:color w:val="000000"/>
                <w:sz w:val="18"/>
                <w:szCs w:val="18"/>
                <w:lang w:bidi="ar-SA"/>
              </w:rPr>
              <w:t>Финансовые обязательства</w:t>
            </w:r>
          </w:p>
        </w:tc>
        <w:tc>
          <w:tcPr>
            <w:tcW w:w="260" w:type="dxa"/>
            <w:tcBorders/>
            <w:shd w:fill="auto" w:val="clear"/>
            <w:vAlign w:val="center"/>
          </w:tcPr>
          <w:p>
            <w:pPr>
              <w:pStyle w:val="Normal"/>
              <w:rPr>
                <w:rFonts w:ascii="Calibri" w:hAnsi="Calibri" w:eastAsia="Times New Roman"/>
                <w:b/>
                <w:b/>
                <w:bCs/>
                <w:color w:val="000000"/>
                <w:sz w:val="18"/>
                <w:szCs w:val="18"/>
                <w:lang w:bidi="ar-SA"/>
              </w:rPr>
            </w:pPr>
            <w:r>
              <w:rPr>
                <w:rFonts w:eastAsia="Times New Roman"/>
                <w:b/>
                <w:bCs/>
                <w:color w:val="000000"/>
                <w:sz w:val="18"/>
                <w:szCs w:val="18"/>
                <w:lang w:bidi="ar-SA"/>
              </w:rPr>
            </w:r>
          </w:p>
        </w:tc>
        <w:tc>
          <w:tcPr>
            <w:tcW w:w="96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341"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108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279"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1180"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222"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c>
          <w:tcPr>
            <w:tcW w:w="1238" w:type="dxa"/>
            <w:tcBorders/>
            <w:shd w:fill="auto" w:val="clear"/>
            <w:vAlign w:val="center"/>
          </w:tcPr>
          <w:p>
            <w:pPr>
              <w:pStyle w:val="Normal"/>
              <w:jc w:val="right"/>
              <w:rPr>
                <w:rFonts w:ascii="Cambria" w:hAnsi="Cambria" w:eastAsia="Times New Roman"/>
                <w:sz w:val="18"/>
                <w:szCs w:val="18"/>
                <w:lang w:bidi="ar-SA"/>
              </w:rPr>
            </w:pPr>
            <w:r>
              <w:rPr>
                <w:rFonts w:eastAsia="Times New Roman" w:ascii="Cambria" w:hAnsi="Cambria"/>
                <w:sz w:val="18"/>
                <w:szCs w:val="18"/>
                <w:lang w:bidi="ar-SA"/>
              </w:rPr>
            </w:r>
          </w:p>
        </w:tc>
      </w:tr>
      <w:tr>
        <w:trPr>
          <w:trHeight w:val="675" w:hRule="atLeast"/>
        </w:trPr>
        <w:tc>
          <w:tcPr>
            <w:tcW w:w="233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Кредиторская задолженность</w:t>
            </w:r>
          </w:p>
        </w:tc>
        <w:tc>
          <w:tcPr>
            <w:tcW w:w="26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34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0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7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54 315</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238"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54 315</w:t>
            </w:r>
          </w:p>
        </w:tc>
      </w:tr>
      <w:tr>
        <w:trPr>
          <w:trHeight w:val="675" w:hRule="atLeast"/>
        </w:trPr>
        <w:tc>
          <w:tcPr>
            <w:tcW w:w="233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Кредиты и займы</w:t>
            </w:r>
          </w:p>
        </w:tc>
        <w:tc>
          <w:tcPr>
            <w:tcW w:w="26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34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0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7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6 000</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238"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6 000</w:t>
            </w:r>
          </w:p>
        </w:tc>
      </w:tr>
      <w:tr>
        <w:trPr>
          <w:trHeight w:val="675" w:hRule="atLeast"/>
        </w:trPr>
        <w:tc>
          <w:tcPr>
            <w:tcW w:w="2339" w:type="dxa"/>
            <w:tcBorders/>
            <w:shd w:fill="auto" w:val="clear"/>
            <w:vAlign w:val="center"/>
          </w:tcPr>
          <w:p>
            <w:pPr>
              <w:pStyle w:val="Normal"/>
              <w:rPr>
                <w:rFonts w:ascii="Cambria" w:hAnsi="Cambria" w:eastAsia="Times New Roman"/>
                <w:color w:val="000000"/>
                <w:sz w:val="18"/>
                <w:szCs w:val="18"/>
                <w:lang w:bidi="ar-SA"/>
              </w:rPr>
            </w:pPr>
            <w:r>
              <w:rPr>
                <w:rFonts w:eastAsia="Times New Roman" w:ascii="Cambria" w:hAnsi="Cambria"/>
                <w:color w:val="000000"/>
                <w:sz w:val="18"/>
                <w:szCs w:val="18"/>
                <w:lang w:bidi="ar-SA"/>
              </w:rPr>
              <w:t>Обязательства по финансовой аренде</w:t>
            </w:r>
          </w:p>
        </w:tc>
        <w:tc>
          <w:tcPr>
            <w:tcW w:w="260" w:type="dxa"/>
            <w:tcBorders/>
            <w:shd w:fill="auto" w:val="clear"/>
            <w:vAlign w:val="center"/>
          </w:tcPr>
          <w:p>
            <w:pPr>
              <w:pStyle w:val="Normal"/>
              <w:rPr>
                <w:rFonts w:ascii="Calibri" w:hAnsi="Calibri" w:eastAsia="Times New Roman"/>
                <w:color w:val="000000"/>
                <w:sz w:val="18"/>
                <w:szCs w:val="18"/>
                <w:lang w:bidi="ar-SA"/>
              </w:rPr>
            </w:pPr>
            <w:r>
              <w:rPr>
                <w:rFonts w:eastAsia="Times New Roman"/>
                <w:color w:val="000000"/>
                <w:sz w:val="18"/>
                <w:szCs w:val="18"/>
                <w:lang w:bidi="ar-SA"/>
              </w:rPr>
            </w:r>
          </w:p>
        </w:tc>
        <w:tc>
          <w:tcPr>
            <w:tcW w:w="96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341"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0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w:t>
            </w:r>
          </w:p>
        </w:tc>
        <w:tc>
          <w:tcPr>
            <w:tcW w:w="279"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180"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13 302</w:t>
            </w:r>
          </w:p>
        </w:tc>
        <w:tc>
          <w:tcPr>
            <w:tcW w:w="222"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r>
          </w:p>
        </w:tc>
        <w:tc>
          <w:tcPr>
            <w:tcW w:w="1238" w:type="dxa"/>
            <w:tcBorders/>
            <w:shd w:fill="auto" w:val="clear"/>
            <w:vAlign w:val="center"/>
          </w:tcPr>
          <w:p>
            <w:pPr>
              <w:pStyle w:val="Normal"/>
              <w:jc w:val="right"/>
              <w:rPr>
                <w:rFonts w:ascii="Cambria" w:hAnsi="Cambria" w:eastAsia="Times New Roman"/>
                <w:color w:val="000000"/>
                <w:sz w:val="18"/>
                <w:szCs w:val="18"/>
                <w:lang w:bidi="ar-SA"/>
              </w:rPr>
            </w:pPr>
            <w:r>
              <w:rPr>
                <w:rFonts w:eastAsia="Times New Roman" w:ascii="Cambria" w:hAnsi="Cambria"/>
                <w:color w:val="000000"/>
                <w:sz w:val="18"/>
                <w:szCs w:val="18"/>
                <w:lang w:bidi="ar-SA"/>
              </w:rPr>
              <w:t>13 302</w:t>
            </w:r>
          </w:p>
        </w:tc>
      </w:tr>
    </w:tbl>
    <w:p>
      <w:pPr>
        <w:pStyle w:val="Normal"/>
        <w:spacing w:before="120" w:after="120"/>
        <w:ind w:right="136" w:hanging="0"/>
        <w:rPr>
          <w:rFonts w:ascii="Cambria" w:hAnsi="Cambria" w:cs="Cambria"/>
          <w:highlight w:val="yellow"/>
          <w:lang w:bidi="ar-SA"/>
        </w:rPr>
      </w:pPr>
      <w:r>
        <w:rPr>
          <w:rFonts w:cs="Cambria" w:ascii="Cambria" w:hAnsi="Cambria"/>
          <w:highlight w:val="yellow"/>
          <w:lang w:bidi="ar-SA"/>
        </w:rPr>
      </w:r>
    </w:p>
    <w:p>
      <w:pPr>
        <w:pStyle w:val="Normal"/>
        <w:spacing w:before="120" w:after="120"/>
        <w:ind w:right="136" w:hanging="0"/>
        <w:rPr>
          <w:rFonts w:ascii="Cambria" w:hAnsi="Cambria" w:cs="Cambria"/>
          <w:highlight w:val="yellow"/>
          <w:lang w:bidi="ar-SA"/>
        </w:rPr>
      </w:pPr>
      <w:r>
        <w:rPr>
          <w:rFonts w:cs="Cambria" w:ascii="Cambria" w:hAnsi="Cambria"/>
          <w:highlight w:val="yellow"/>
          <w:lang w:bidi="ar-SA"/>
        </w:rPr>
      </w:r>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bookmarkStart w:id="54" w:name="_Toc511723899"/>
      <w:bookmarkStart w:id="55" w:name="_Toc484003027"/>
      <w:bookmarkStart w:id="56" w:name="_Toc478735870"/>
      <w:r>
        <w:rPr>
          <w:rFonts w:cs="Arial" w:ascii="Cambria" w:hAnsi="Cambria"/>
          <w:b/>
          <w:bCs/>
          <w:kern w:val="2"/>
          <w:szCs w:val="20"/>
        </w:rPr>
        <w:t>УСЛОВНЫЕ ОБЯЗАТЕЛЬСТВА</w:t>
      </w:r>
      <w:bookmarkEnd w:id="54"/>
      <w:bookmarkEnd w:id="55"/>
      <w:bookmarkEnd w:id="56"/>
    </w:p>
    <w:p>
      <w:pPr>
        <w:pStyle w:val="Normal"/>
        <w:spacing w:before="120" w:after="120"/>
        <w:ind w:right="136" w:hanging="0"/>
        <w:jc w:val="both"/>
        <w:rPr>
          <w:rFonts w:ascii="Cambria" w:hAnsi="Cambria"/>
          <w:bCs/>
          <w:kern w:val="2"/>
          <w:sz w:val="20"/>
          <w:szCs w:val="20"/>
        </w:rPr>
      </w:pPr>
      <w:r>
        <w:rPr>
          <w:rFonts w:ascii="Cambria" w:hAnsi="Cambria"/>
          <w:bCs/>
          <w:kern w:val="2"/>
          <w:sz w:val="20"/>
          <w:szCs w:val="20"/>
        </w:rPr>
      </w:r>
    </w:p>
    <w:p>
      <w:pPr>
        <w:pStyle w:val="Normal"/>
        <w:spacing w:before="120" w:after="120"/>
        <w:ind w:right="134" w:hanging="0"/>
        <w:jc w:val="both"/>
        <w:rPr>
          <w:rFonts w:ascii="Cambria" w:hAnsi="Cambria"/>
          <w:bCs/>
          <w:kern w:val="2"/>
          <w:sz w:val="20"/>
          <w:szCs w:val="20"/>
        </w:rPr>
      </w:pPr>
      <w:r>
        <w:rPr>
          <w:rFonts w:ascii="Cambria" w:hAnsi="Cambria"/>
          <w:b/>
          <w:bCs/>
          <w:i/>
          <w:kern w:val="2"/>
          <w:sz w:val="20"/>
          <w:szCs w:val="20"/>
        </w:rPr>
        <w:t>Судебные разбирательства</w:t>
      </w:r>
      <w:r>
        <w:rPr>
          <w:rFonts w:cs="Arial" w:ascii="Cambria" w:hAnsi="Cambria"/>
          <w:bCs/>
          <w:iCs/>
          <w:sz w:val="20"/>
          <w:szCs w:val="20"/>
        </w:rPr>
        <w:t xml:space="preserve">. В ходе обычной деятельности Группа участвует в судебных делах как истец и как ответчик. </w:t>
      </w:r>
      <w:r>
        <w:rPr>
          <w:rFonts w:ascii="Cambria" w:hAnsi="Cambria"/>
          <w:bCs/>
          <w:kern w:val="2"/>
          <w:sz w:val="20"/>
          <w:szCs w:val="20"/>
        </w:rPr>
        <w:t>По состоянию на 31.12.2018 год по судебным делал был создан оценочный резерв в сумме 3 278 тыс. рублей</w:t>
      </w:r>
    </w:p>
    <w:p>
      <w:pPr>
        <w:pStyle w:val="ListParagraph"/>
        <w:numPr>
          <w:ilvl w:val="0"/>
          <w:numId w:val="0"/>
        </w:numPr>
        <w:spacing w:before="120" w:after="120"/>
        <w:ind w:left="0" w:right="134" w:hanging="0"/>
        <w:jc w:val="both"/>
        <w:outlineLvl w:val="0"/>
        <w:rPr/>
      </w:pPr>
      <w:r>
        <w:rPr/>
      </w:r>
      <w:bookmarkStart w:id="57" w:name="_Toc511723907"/>
      <w:bookmarkStart w:id="58" w:name="_Toc484003037"/>
      <w:bookmarkStart w:id="59" w:name="_Toc478735873"/>
      <w:bookmarkStart w:id="60" w:name="_Toc511723907"/>
      <w:bookmarkStart w:id="61" w:name="_Toc484003037"/>
      <w:bookmarkStart w:id="62" w:name="_Toc478735873"/>
    </w:p>
    <w:p>
      <w:pPr>
        <w:pStyle w:val="ListParagraph"/>
        <w:keepLines/>
        <w:numPr>
          <w:ilvl w:val="0"/>
          <w:numId w:val="1"/>
        </w:numPr>
        <w:spacing w:before="120" w:after="120"/>
        <w:ind w:left="0" w:right="134" w:hanging="0"/>
        <w:jc w:val="both"/>
        <w:outlineLvl w:val="0"/>
        <w:rPr>
          <w:rFonts w:ascii="Cambria" w:hAnsi="Cambria" w:eastAsia="Times New Roman" w:cs="Arial"/>
          <w:b/>
          <w:b/>
          <w:bCs/>
          <w:kern w:val="2"/>
          <w:szCs w:val="20"/>
        </w:rPr>
      </w:pPr>
      <w:bookmarkStart w:id="63" w:name="_Toc511723907"/>
      <w:bookmarkStart w:id="64" w:name="_Toc484003037"/>
      <w:bookmarkStart w:id="65" w:name="_Toc478735873"/>
      <w:r>
        <w:rPr>
          <w:rFonts w:eastAsia="Times New Roman" w:cs="Arial" w:ascii="Cambria" w:hAnsi="Cambria"/>
          <w:b/>
          <w:bCs/>
          <w:kern w:val="2"/>
          <w:szCs w:val="20"/>
        </w:rPr>
        <w:t>СВЯЗАННЫЕ СТОРОНЫ</w:t>
      </w:r>
      <w:bookmarkEnd w:id="63"/>
      <w:bookmarkEnd w:id="64"/>
      <w:bookmarkEnd w:id="65"/>
    </w:p>
    <w:p>
      <w:pPr>
        <w:pStyle w:val="Normal"/>
        <w:spacing w:before="120" w:after="120"/>
        <w:ind w:right="134" w:hanging="0"/>
        <w:jc w:val="both"/>
        <w:rPr>
          <w:rFonts w:ascii="Cambria" w:hAnsi="Cambria" w:eastAsia="Arial Unicode MS"/>
          <w:sz w:val="20"/>
          <w:szCs w:val="20"/>
        </w:rPr>
      </w:pPr>
      <w:r>
        <w:rPr>
          <w:rFonts w:eastAsia="Arial Unicode MS" w:ascii="Cambria" w:hAnsi="Cambria"/>
          <w:sz w:val="20"/>
          <w:szCs w:val="20"/>
        </w:rPr>
        <w:t xml:space="preserve">"В соответствии с МСФО (IAS) 24 «Раскрытие информации о связанных сторонах», связанными считаются стороны, одна из которых имеет возможность контролировать или в значительной степени влиять на операционные и финансовые решения другой стороны. При решении вопроса о том, являются ли стороны связанными, принимается во внимание содержание взаимоотношений сторон, а не только их юридическая форма. </w:t>
      </w:r>
    </w:p>
    <w:p>
      <w:pPr>
        <w:pStyle w:val="Normal"/>
        <w:spacing w:before="120" w:after="120"/>
        <w:ind w:right="134" w:hanging="0"/>
        <w:jc w:val="both"/>
        <w:rPr>
          <w:rFonts w:ascii="Cambria" w:hAnsi="Cambria" w:eastAsia="Arial Unicode MS"/>
          <w:sz w:val="20"/>
          <w:szCs w:val="20"/>
        </w:rPr>
      </w:pPr>
      <w:r>
        <w:rPr>
          <w:rFonts w:eastAsia="Arial Unicode MS" w:ascii="Cambria" w:hAnsi="Cambria"/>
          <w:sz w:val="20"/>
          <w:szCs w:val="20"/>
        </w:rPr>
        <w:t>Характер взаимоотношений с теми связанными сторонами, с которыми Компания осуществляла существенные операции за период, закончившийся 31 декабря 2018 года, или имеет значительные остатки по операциям на 31 декабря 2017 года и 01 января 2017 года, представлен ниже.</w:t>
      </w:r>
    </w:p>
    <w:p>
      <w:pPr>
        <w:pStyle w:val="Normal"/>
        <w:spacing w:before="120" w:after="120"/>
        <w:ind w:right="134" w:hanging="0"/>
        <w:jc w:val="both"/>
        <w:rPr>
          <w:rFonts w:ascii="Cambria" w:hAnsi="Cambria" w:eastAsia="Arial Unicode MS"/>
          <w:b/>
          <w:b/>
          <w:i/>
          <w:i/>
          <w:sz w:val="20"/>
          <w:szCs w:val="20"/>
        </w:rPr>
      </w:pPr>
      <w:r>
        <w:rPr>
          <w:rFonts w:eastAsia="Arial Unicode MS" w:ascii="Cambria" w:hAnsi="Cambria"/>
          <w:b/>
          <w:i/>
          <w:sz w:val="20"/>
          <w:szCs w:val="20"/>
        </w:rPr>
        <w:t>Операции с высшим руководством</w:t>
      </w:r>
    </w:p>
    <w:p>
      <w:pPr>
        <w:pStyle w:val="Normal"/>
        <w:spacing w:before="120" w:after="120"/>
        <w:ind w:right="134" w:hanging="0"/>
        <w:jc w:val="both"/>
        <w:rPr>
          <w:rFonts w:ascii="Cambria" w:hAnsi="Cambria" w:eastAsia="Arial Unicode MS"/>
          <w:sz w:val="20"/>
          <w:szCs w:val="20"/>
        </w:rPr>
      </w:pPr>
      <w:r>
        <w:rPr>
          <w:rFonts w:eastAsia="Arial Unicode MS" w:ascii="Cambria" w:hAnsi="Cambria"/>
          <w:sz w:val="20"/>
          <w:szCs w:val="20"/>
        </w:rPr>
        <w:t>Вознаграждение выплачивается ключевому руководству Компании за выполнение ими своих обязанностей на занимаемых должностях и складывается из предусмотренной трудовым соглашением заработной платы и премий, определяемых по результатам работы за период (краткосрочные вознаграждения). Общая сумма расходов на вознаграждение ключевому управленческому персоналу Компании входит в состав расходов на персонал.</w:t>
      </w:r>
    </w:p>
    <w:p>
      <w:pPr>
        <w:pStyle w:val="Normal"/>
        <w:spacing w:before="120" w:after="120"/>
        <w:ind w:right="134" w:hanging="0"/>
        <w:jc w:val="both"/>
        <w:rPr>
          <w:rFonts w:ascii="Cambria" w:hAnsi="Cambria" w:eastAsia="Arial Unicode MS"/>
          <w:sz w:val="20"/>
          <w:szCs w:val="20"/>
        </w:rPr>
      </w:pPr>
      <w:r>
        <w:rPr>
          <w:rFonts w:eastAsia="Arial Unicode MS" w:ascii="Cambria" w:hAnsi="Cambria"/>
          <w:sz w:val="20"/>
          <w:szCs w:val="20"/>
        </w:rPr>
        <w:t>Ключевой управленческий персонал Компании получил в качестве вознаграждения 8 120 тыс. рублей за  2018 год и 9 430 тыс. рублей за 2017 год.</w:t>
      </w:r>
    </w:p>
    <w:p>
      <w:pPr>
        <w:pStyle w:val="ListParagraph"/>
        <w:spacing w:before="120" w:after="120"/>
        <w:ind w:left="0" w:right="136" w:hanging="0"/>
        <w:jc w:val="both"/>
        <w:rPr>
          <w:rFonts w:ascii="Cambria" w:hAnsi="Cambria" w:eastAsia="Arial Unicode MS"/>
          <w:b/>
          <w:b/>
          <w:i/>
          <w:i/>
          <w:sz w:val="20"/>
          <w:szCs w:val="20"/>
        </w:rPr>
      </w:pPr>
      <w:r>
        <w:rPr>
          <w:rFonts w:eastAsia="Arial Unicode MS" w:ascii="Cambria" w:hAnsi="Cambria"/>
          <w:b/>
          <w:i/>
          <w:sz w:val="20"/>
          <w:szCs w:val="20"/>
        </w:rPr>
        <w:t>Операции с прочими связанными сторонами:</w:t>
      </w:r>
    </w:p>
    <w:tbl>
      <w:tblPr>
        <w:tblW w:w="4800" w:type="pct"/>
        <w:jc w:val="left"/>
        <w:tblInd w:w="1" w:type="dxa"/>
        <w:tblBorders/>
        <w:tblCellMar>
          <w:top w:w="0" w:type="dxa"/>
          <w:left w:w="108" w:type="dxa"/>
          <w:bottom w:w="0" w:type="dxa"/>
          <w:right w:w="108" w:type="dxa"/>
        </w:tblCellMar>
        <w:tblLook w:firstRow="1" w:noVBand="1" w:lastRow="0" w:firstColumn="1" w:lastColumn="0" w:noHBand="0" w:val="04a0"/>
      </w:tblPr>
      <w:tblGrid>
        <w:gridCol w:w="5796"/>
        <w:gridCol w:w="1796"/>
        <w:gridCol w:w="1932"/>
      </w:tblGrid>
      <w:tr>
        <w:trPr>
          <w:trHeight w:val="20" w:hRule="atLeast"/>
        </w:trPr>
        <w:tc>
          <w:tcPr>
            <w:tcW w:w="5796" w:type="dxa"/>
            <w:tcBorders/>
            <w:shd w:fill="auto" w:val="clear"/>
            <w:vAlign w:val="center"/>
          </w:tcPr>
          <w:p>
            <w:pPr>
              <w:pStyle w:val="Normal"/>
              <w:ind w:right="134" w:hanging="0"/>
              <w:jc w:val="center"/>
              <w:rPr>
                <w:rFonts w:ascii="Cambria" w:hAnsi="Cambria" w:eastAsia="Arial Unicode MS"/>
                <w:b/>
                <w:b/>
                <w:sz w:val="18"/>
                <w:szCs w:val="18"/>
              </w:rPr>
            </w:pPr>
            <w:r>
              <w:rPr>
                <w:rFonts w:eastAsia="Arial Unicode MS" w:ascii="Cambria" w:hAnsi="Cambria"/>
                <w:b/>
                <w:sz w:val="18"/>
                <w:szCs w:val="18"/>
              </w:rPr>
              <w:t>Операции</w:t>
            </w:r>
          </w:p>
        </w:tc>
        <w:tc>
          <w:tcPr>
            <w:tcW w:w="1796" w:type="dxa"/>
            <w:tcBorders>
              <w:bottom w:val="single" w:sz="8" w:space="0" w:color="000000"/>
              <w:insideH w:val="single" w:sz="8" w:space="0" w:color="000000"/>
            </w:tcBorders>
            <w:shd w:fill="auto" w:val="clear"/>
            <w:vAlign w:val="center"/>
          </w:tcPr>
          <w:p>
            <w:pPr>
              <w:pStyle w:val="Normal"/>
              <w:ind w:right="134" w:hanging="0"/>
              <w:jc w:val="center"/>
              <w:rPr>
                <w:rFonts w:ascii="Cambria" w:hAnsi="Cambria" w:eastAsia="Arial Unicode MS"/>
                <w:b/>
                <w:b/>
                <w:sz w:val="18"/>
                <w:szCs w:val="18"/>
              </w:rPr>
            </w:pPr>
            <w:r>
              <w:rPr>
                <w:rFonts w:eastAsia="Times New Roman" w:ascii="Times New Roman" w:hAnsi="Times New Roman"/>
                <w:b/>
                <w:bCs/>
                <w:color w:val="000000"/>
                <w:sz w:val="18"/>
                <w:szCs w:val="18"/>
                <w:lang w:bidi="ar-SA"/>
              </w:rPr>
              <w:t xml:space="preserve"> </w:t>
            </w:r>
            <w:r>
              <w:rPr>
                <w:rFonts w:eastAsia="Times New Roman" w:ascii="Times New Roman" w:hAnsi="Times New Roman"/>
                <w:b/>
                <w:bCs/>
                <w:color w:val="000000"/>
                <w:sz w:val="18"/>
                <w:szCs w:val="18"/>
                <w:lang w:bidi="ar-SA"/>
              </w:rPr>
              <w:t>2018</w:t>
            </w:r>
          </w:p>
        </w:tc>
        <w:tc>
          <w:tcPr>
            <w:tcW w:w="1932" w:type="dxa"/>
            <w:tcBorders>
              <w:bottom w:val="single" w:sz="8" w:space="0" w:color="000000"/>
              <w:insideH w:val="single" w:sz="8" w:space="0" w:color="000000"/>
            </w:tcBorders>
            <w:shd w:fill="auto" w:val="clear"/>
            <w:vAlign w:val="center"/>
          </w:tcPr>
          <w:p>
            <w:pPr>
              <w:pStyle w:val="Normal"/>
              <w:ind w:right="134" w:hanging="0"/>
              <w:jc w:val="center"/>
              <w:rPr>
                <w:rFonts w:ascii="Cambria" w:hAnsi="Cambria" w:eastAsia="Arial Unicode MS"/>
                <w:b/>
                <w:b/>
                <w:sz w:val="18"/>
                <w:szCs w:val="18"/>
              </w:rPr>
            </w:pPr>
            <w:r>
              <w:rPr>
                <w:rFonts w:eastAsia="Times New Roman" w:ascii="Times New Roman" w:hAnsi="Times New Roman"/>
                <w:b/>
                <w:bCs/>
                <w:color w:val="000000"/>
                <w:sz w:val="18"/>
                <w:szCs w:val="18"/>
                <w:lang w:bidi="ar-SA"/>
              </w:rPr>
              <w:t>2017</w:t>
            </w:r>
          </w:p>
        </w:tc>
      </w:tr>
      <w:tr>
        <w:trPr>
          <w:trHeight w:val="243" w:hRule="atLeast"/>
        </w:trPr>
        <w:tc>
          <w:tcPr>
            <w:tcW w:w="5796" w:type="dxa"/>
            <w:tcBorders/>
            <w:shd w:fill="auto" w:val="clear"/>
            <w:vAlign w:val="bottom"/>
          </w:tcPr>
          <w:p>
            <w:pPr>
              <w:pStyle w:val="Normal"/>
              <w:ind w:right="134" w:hanging="0"/>
              <w:rPr>
                <w:rFonts w:ascii="Cambria" w:hAnsi="Cambria" w:eastAsia="Times New Roman"/>
                <w:sz w:val="18"/>
                <w:szCs w:val="18"/>
              </w:rPr>
            </w:pPr>
            <w:r>
              <w:rPr>
                <w:rFonts w:eastAsia="Times New Roman" w:ascii="Cambria" w:hAnsi="Cambria"/>
                <w:sz w:val="18"/>
                <w:szCs w:val="18"/>
              </w:rPr>
              <w:t>Расходы по услугам производственного характера</w:t>
            </w:r>
          </w:p>
        </w:tc>
        <w:tc>
          <w:tcPr>
            <w:tcW w:w="1796" w:type="dxa"/>
            <w:tcBorders/>
            <w:shd w:fill="auto" w:val="clear"/>
            <w:vAlign w:val="bottom"/>
          </w:tcPr>
          <w:p>
            <w:pPr>
              <w:pStyle w:val="Normal"/>
              <w:ind w:right="134" w:hanging="0"/>
              <w:jc w:val="right"/>
              <w:rPr>
                <w:rFonts w:ascii="Cambria" w:hAnsi="Cambria" w:eastAsia="Arial Unicode MS"/>
                <w:sz w:val="18"/>
                <w:szCs w:val="18"/>
              </w:rPr>
            </w:pPr>
            <w:r>
              <w:rPr>
                <w:rFonts w:eastAsia="Arial Unicode MS" w:ascii="Cambria" w:hAnsi="Cambria"/>
                <w:sz w:val="18"/>
                <w:szCs w:val="18"/>
              </w:rPr>
            </w:r>
          </w:p>
        </w:tc>
        <w:tc>
          <w:tcPr>
            <w:tcW w:w="1932" w:type="dxa"/>
            <w:tcBorders/>
            <w:shd w:fill="auto" w:val="clear"/>
            <w:vAlign w:val="bottom"/>
          </w:tcPr>
          <w:p>
            <w:pPr>
              <w:pStyle w:val="Normal"/>
              <w:ind w:right="134" w:hanging="0"/>
              <w:jc w:val="center"/>
              <w:rPr>
                <w:rFonts w:ascii="Cambria" w:hAnsi="Cambria" w:eastAsia="Arial Unicode MS"/>
                <w:sz w:val="18"/>
                <w:szCs w:val="18"/>
              </w:rPr>
            </w:pPr>
            <w:r>
              <w:rPr>
                <w:rFonts w:eastAsia="Arial Unicode MS" w:ascii="Cambria" w:hAnsi="Cambria"/>
                <w:sz w:val="18"/>
                <w:szCs w:val="18"/>
              </w:rPr>
            </w:r>
          </w:p>
        </w:tc>
      </w:tr>
      <w:tr>
        <w:trPr>
          <w:trHeight w:val="379" w:hRule="atLeast"/>
        </w:trPr>
        <w:tc>
          <w:tcPr>
            <w:tcW w:w="5796" w:type="dxa"/>
            <w:tcBorders/>
            <w:shd w:fill="auto" w:val="clear"/>
            <w:vAlign w:val="bottom"/>
          </w:tcPr>
          <w:p>
            <w:pPr>
              <w:pStyle w:val="Normal"/>
              <w:ind w:right="134" w:hanging="0"/>
              <w:jc w:val="right"/>
              <w:rPr>
                <w:rFonts w:ascii="Cambria" w:hAnsi="Cambria" w:eastAsia="Times New Roman"/>
                <w:i/>
                <w:i/>
                <w:sz w:val="18"/>
                <w:szCs w:val="18"/>
              </w:rPr>
            </w:pPr>
            <w:r>
              <w:rPr>
                <w:rFonts w:eastAsia="Times New Roman" w:ascii="Cambria" w:hAnsi="Cambria"/>
                <w:i/>
                <w:sz w:val="18"/>
                <w:szCs w:val="18"/>
              </w:rPr>
              <w:t>Связанные стороны</w:t>
            </w:r>
          </w:p>
        </w:tc>
        <w:tc>
          <w:tcPr>
            <w:tcW w:w="1796"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t xml:space="preserve">128 059 </w:t>
            </w:r>
          </w:p>
        </w:tc>
        <w:tc>
          <w:tcPr>
            <w:tcW w:w="1932"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t>308 125</w:t>
            </w:r>
          </w:p>
        </w:tc>
      </w:tr>
      <w:tr>
        <w:trPr>
          <w:trHeight w:val="379" w:hRule="atLeast"/>
        </w:trPr>
        <w:tc>
          <w:tcPr>
            <w:tcW w:w="5796" w:type="dxa"/>
            <w:tcBorders/>
            <w:shd w:fill="auto" w:val="clear"/>
            <w:vAlign w:val="bottom"/>
          </w:tcPr>
          <w:p>
            <w:pPr>
              <w:pStyle w:val="Normal"/>
              <w:ind w:right="134" w:hanging="0"/>
              <w:rPr>
                <w:rFonts w:ascii="Cambria" w:hAnsi="Cambria" w:eastAsia="Times New Roman"/>
                <w:i/>
                <w:i/>
                <w:sz w:val="18"/>
                <w:szCs w:val="18"/>
              </w:rPr>
            </w:pPr>
            <w:r>
              <w:rPr>
                <w:rFonts w:eastAsia="Times New Roman" w:ascii="Cambria" w:hAnsi="Cambria"/>
                <w:sz w:val="18"/>
                <w:szCs w:val="18"/>
              </w:rPr>
              <w:t>Услуги управляющей компании</w:t>
            </w:r>
          </w:p>
        </w:tc>
        <w:tc>
          <w:tcPr>
            <w:tcW w:w="1796"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r>
          </w:p>
        </w:tc>
        <w:tc>
          <w:tcPr>
            <w:tcW w:w="1932"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r>
          </w:p>
        </w:tc>
      </w:tr>
      <w:tr>
        <w:trPr>
          <w:trHeight w:val="20" w:hRule="atLeast"/>
        </w:trPr>
        <w:tc>
          <w:tcPr>
            <w:tcW w:w="5796" w:type="dxa"/>
            <w:tcBorders/>
            <w:shd w:fill="auto" w:val="clear"/>
            <w:vAlign w:val="bottom"/>
          </w:tcPr>
          <w:p>
            <w:pPr>
              <w:pStyle w:val="Normal"/>
              <w:ind w:right="134" w:hanging="0"/>
              <w:jc w:val="right"/>
              <w:rPr>
                <w:rFonts w:ascii="Cambria" w:hAnsi="Cambria" w:eastAsia="Times New Roman"/>
                <w:i/>
                <w:i/>
                <w:sz w:val="18"/>
                <w:szCs w:val="18"/>
              </w:rPr>
            </w:pPr>
            <w:r>
              <w:rPr>
                <w:rFonts w:eastAsia="Times New Roman" w:ascii="Cambria" w:hAnsi="Cambria"/>
                <w:i/>
                <w:sz w:val="18"/>
                <w:szCs w:val="18"/>
              </w:rPr>
              <w:t>Связанные стороны</w:t>
            </w:r>
          </w:p>
        </w:tc>
        <w:tc>
          <w:tcPr>
            <w:tcW w:w="1796" w:type="dxa"/>
            <w:tcBorders/>
            <w:shd w:fill="auto" w:val="clear"/>
            <w:vAlign w:val="bottom"/>
          </w:tcPr>
          <w:p>
            <w:pPr>
              <w:pStyle w:val="Normal"/>
              <w:ind w:right="134" w:hanging="0"/>
              <w:jc w:val="right"/>
              <w:rPr>
                <w:rFonts w:ascii="Cambria" w:hAnsi="Cambria" w:eastAsia="Times New Roman"/>
                <w:sz w:val="18"/>
                <w:szCs w:val="18"/>
              </w:rPr>
            </w:pPr>
            <w:r>
              <w:rPr>
                <w:rFonts w:ascii="Cambria" w:hAnsi="Cambria"/>
                <w:sz w:val="20"/>
                <w:szCs w:val="20"/>
              </w:rPr>
              <w:t>48 141</w:t>
            </w:r>
          </w:p>
        </w:tc>
        <w:tc>
          <w:tcPr>
            <w:tcW w:w="1932" w:type="dxa"/>
            <w:tcBorders/>
            <w:shd w:fill="auto" w:val="clear"/>
            <w:vAlign w:val="bottom"/>
          </w:tcPr>
          <w:p>
            <w:pPr>
              <w:pStyle w:val="Normal"/>
              <w:ind w:right="134" w:hanging="0"/>
              <w:jc w:val="right"/>
              <w:rPr>
                <w:rFonts w:ascii="Cambria" w:hAnsi="Cambria" w:eastAsia="Times New Roman"/>
                <w:sz w:val="18"/>
                <w:szCs w:val="18"/>
              </w:rPr>
            </w:pPr>
            <w:r>
              <w:rPr>
                <w:rFonts w:ascii="Cambria" w:hAnsi="Cambria"/>
                <w:sz w:val="20"/>
                <w:szCs w:val="20"/>
              </w:rPr>
              <w:t>44 292</w:t>
            </w:r>
          </w:p>
        </w:tc>
      </w:tr>
      <w:tr>
        <w:trPr>
          <w:trHeight w:val="20" w:hRule="atLeast"/>
        </w:trPr>
        <w:tc>
          <w:tcPr>
            <w:tcW w:w="5796" w:type="dxa"/>
            <w:tcBorders/>
            <w:shd w:fill="auto" w:val="clear"/>
            <w:vAlign w:val="bottom"/>
          </w:tcPr>
          <w:p>
            <w:pPr>
              <w:pStyle w:val="Normal"/>
              <w:ind w:right="134" w:hanging="0"/>
              <w:rPr>
                <w:rFonts w:ascii="Cambria" w:hAnsi="Cambria" w:eastAsia="Times New Roman"/>
                <w:sz w:val="18"/>
                <w:szCs w:val="18"/>
              </w:rPr>
            </w:pPr>
            <w:r>
              <w:rPr>
                <w:rFonts w:eastAsia="Times New Roman" w:ascii="Cambria" w:hAnsi="Cambria"/>
                <w:sz w:val="18"/>
                <w:szCs w:val="18"/>
              </w:rPr>
              <w:t>Предоставление займов</w:t>
            </w:r>
          </w:p>
        </w:tc>
        <w:tc>
          <w:tcPr>
            <w:tcW w:w="1796"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r>
          </w:p>
        </w:tc>
        <w:tc>
          <w:tcPr>
            <w:tcW w:w="1932"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r>
          </w:p>
        </w:tc>
      </w:tr>
      <w:tr>
        <w:trPr>
          <w:trHeight w:val="20" w:hRule="atLeast"/>
        </w:trPr>
        <w:tc>
          <w:tcPr>
            <w:tcW w:w="5796" w:type="dxa"/>
            <w:tcBorders/>
            <w:shd w:fill="auto" w:val="clear"/>
            <w:vAlign w:val="bottom"/>
          </w:tcPr>
          <w:p>
            <w:pPr>
              <w:pStyle w:val="Normal"/>
              <w:ind w:right="134" w:hanging="0"/>
              <w:jc w:val="right"/>
              <w:rPr>
                <w:rFonts w:ascii="Cambria" w:hAnsi="Cambria" w:eastAsia="Times New Roman"/>
                <w:i/>
                <w:i/>
                <w:sz w:val="18"/>
                <w:szCs w:val="18"/>
              </w:rPr>
            </w:pPr>
            <w:r>
              <w:rPr>
                <w:rFonts w:eastAsia="Times New Roman" w:ascii="Cambria" w:hAnsi="Cambria"/>
                <w:i/>
                <w:sz w:val="18"/>
                <w:szCs w:val="18"/>
              </w:rPr>
              <w:t>Связанные стороны</w:t>
            </w:r>
          </w:p>
        </w:tc>
        <w:tc>
          <w:tcPr>
            <w:tcW w:w="1796"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t xml:space="preserve">21 000 </w:t>
            </w:r>
          </w:p>
        </w:tc>
        <w:tc>
          <w:tcPr>
            <w:tcW w:w="1932"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t>21 400</w:t>
            </w:r>
          </w:p>
        </w:tc>
      </w:tr>
      <w:tr>
        <w:trPr>
          <w:trHeight w:val="317" w:hRule="atLeast"/>
        </w:trPr>
        <w:tc>
          <w:tcPr>
            <w:tcW w:w="5796" w:type="dxa"/>
            <w:tcBorders/>
            <w:shd w:fill="auto" w:val="clear"/>
            <w:vAlign w:val="bottom"/>
          </w:tcPr>
          <w:p>
            <w:pPr>
              <w:pStyle w:val="Normal"/>
              <w:ind w:right="134" w:hanging="0"/>
              <w:rPr>
                <w:rFonts w:ascii="Cambria" w:hAnsi="Cambria" w:eastAsia="Times New Roman"/>
                <w:sz w:val="18"/>
                <w:szCs w:val="18"/>
              </w:rPr>
            </w:pPr>
            <w:r>
              <w:rPr>
                <w:rFonts w:eastAsia="Times New Roman" w:ascii="Cambria" w:hAnsi="Cambria"/>
                <w:sz w:val="18"/>
                <w:szCs w:val="18"/>
              </w:rPr>
              <w:t>Погашение займов выданных</w:t>
            </w:r>
          </w:p>
        </w:tc>
        <w:tc>
          <w:tcPr>
            <w:tcW w:w="1796"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r>
          </w:p>
        </w:tc>
        <w:tc>
          <w:tcPr>
            <w:tcW w:w="1932" w:type="dxa"/>
            <w:tcBorders/>
            <w:shd w:fill="auto" w:val="clear"/>
            <w:vAlign w:val="center"/>
          </w:tcPr>
          <w:p>
            <w:pPr>
              <w:pStyle w:val="Normal"/>
              <w:ind w:right="134" w:hanging="0"/>
              <w:jc w:val="right"/>
              <w:rPr>
                <w:rFonts w:ascii="Cambria" w:hAnsi="Cambria" w:eastAsia="Times New Roman"/>
                <w:sz w:val="18"/>
                <w:szCs w:val="18"/>
              </w:rPr>
            </w:pPr>
            <w:r>
              <w:rPr>
                <w:rFonts w:eastAsia="Times New Roman" w:ascii="Cambria" w:hAnsi="Cambria"/>
                <w:sz w:val="18"/>
                <w:szCs w:val="18"/>
              </w:rPr>
              <w:t> </w:t>
            </w:r>
          </w:p>
        </w:tc>
      </w:tr>
      <w:tr>
        <w:trPr>
          <w:trHeight w:val="20" w:hRule="atLeast"/>
        </w:trPr>
        <w:tc>
          <w:tcPr>
            <w:tcW w:w="5796"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i/>
                <w:sz w:val="18"/>
                <w:szCs w:val="18"/>
              </w:rPr>
              <w:t>Связанные</w:t>
            </w:r>
            <w:r>
              <w:rPr>
                <w:rFonts w:eastAsia="Times New Roman" w:ascii="Cambria" w:hAnsi="Cambria"/>
                <w:sz w:val="18"/>
                <w:szCs w:val="18"/>
              </w:rPr>
              <w:t xml:space="preserve"> стороны</w:t>
            </w:r>
          </w:p>
        </w:tc>
        <w:tc>
          <w:tcPr>
            <w:tcW w:w="1796" w:type="dxa"/>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rPr>
              <w:t>21 000</w:t>
            </w:r>
          </w:p>
        </w:tc>
        <w:tc>
          <w:tcPr>
            <w:tcW w:w="1932" w:type="dxa"/>
            <w:tcBorders/>
            <w:shd w:fill="auto" w:val="clear"/>
            <w:vAlign w:val="center"/>
          </w:tcPr>
          <w:p>
            <w:pPr>
              <w:pStyle w:val="Normal"/>
              <w:ind w:right="134" w:hanging="0"/>
              <w:jc w:val="right"/>
              <w:rPr>
                <w:rFonts w:ascii="Cambria" w:hAnsi="Cambria" w:eastAsia="Times New Roman"/>
                <w:sz w:val="18"/>
                <w:szCs w:val="18"/>
              </w:rPr>
            </w:pPr>
            <w:r>
              <w:rPr>
                <w:rFonts w:eastAsia="Times New Roman" w:ascii="Cambria" w:hAnsi="Cambria"/>
                <w:sz w:val="18"/>
                <w:szCs w:val="18"/>
              </w:rPr>
              <w:t>21 400</w:t>
            </w:r>
          </w:p>
        </w:tc>
      </w:tr>
    </w:tbl>
    <w:p>
      <w:pPr>
        <w:pStyle w:val="ListParagraph"/>
        <w:ind w:left="720" w:right="134" w:hanging="0"/>
        <w:jc w:val="both"/>
        <w:rPr>
          <w:rFonts w:ascii="Cambria" w:hAnsi="Cambria" w:eastAsia="Arial Unicode MS"/>
          <w:sz w:val="20"/>
          <w:szCs w:val="20"/>
        </w:rPr>
      </w:pPr>
      <w:r>
        <w:rPr>
          <w:rFonts w:eastAsia="Arial Unicode MS" w:ascii="Cambria" w:hAnsi="Cambria"/>
          <w:sz w:val="20"/>
          <w:szCs w:val="20"/>
        </w:rPr>
      </w:r>
    </w:p>
    <w:tbl>
      <w:tblPr>
        <w:tblStyle w:val="af0"/>
        <w:tblW w:w="4900" w:type="pct"/>
        <w:jc w:val="left"/>
        <w:tblInd w:w="1" w:type="dxa"/>
        <w:tblCellMar>
          <w:top w:w="0" w:type="dxa"/>
          <w:left w:w="108" w:type="dxa"/>
          <w:bottom w:w="0" w:type="dxa"/>
          <w:right w:w="108" w:type="dxa"/>
        </w:tblCellMar>
        <w:tblLook w:firstRow="1" w:noVBand="1" w:lastRow="0" w:firstColumn="1" w:lastColumn="0" w:noHBand="0" w:val="04a0"/>
      </w:tblPr>
      <w:tblGrid>
        <w:gridCol w:w="3842"/>
        <w:gridCol w:w="2035"/>
        <w:gridCol w:w="1923"/>
        <w:gridCol w:w="1921"/>
      </w:tblGrid>
      <w:tr>
        <w:trPr>
          <w:trHeight w:val="296" w:hRule="atLeast"/>
        </w:trPr>
        <w:tc>
          <w:tcPr>
            <w:tcW w:w="3842" w:type="dxa"/>
            <w:tcBorders>
              <w:top w:val="nil"/>
              <w:left w:val="nil"/>
              <w:bottom w:val="nil"/>
              <w:right w:val="nil"/>
              <w:insideH w:val="nil"/>
              <w:insideV w:val="nil"/>
            </w:tcBorders>
            <w:shd w:fill="auto" w:val="clear"/>
            <w:vAlign w:val="bottom"/>
          </w:tcPr>
          <w:p>
            <w:pPr>
              <w:pStyle w:val="Normal"/>
              <w:ind w:right="134" w:hanging="0"/>
              <w:rPr>
                <w:rFonts w:ascii="Cambria" w:hAnsi="Cambria" w:eastAsia="Arial Unicode MS"/>
                <w:sz w:val="18"/>
                <w:szCs w:val="20"/>
                <w:lang w:eastAsia="ru-RU"/>
              </w:rPr>
            </w:pPr>
            <w:r>
              <w:rPr>
                <w:rFonts w:eastAsia="Arial Unicode MS" w:ascii="Cambria" w:hAnsi="Cambria"/>
                <w:sz w:val="18"/>
                <w:szCs w:val="20"/>
                <w:lang w:eastAsia="ru-RU" w:bidi="ar-SA"/>
              </w:rPr>
              <w:t>Остатки на:</w:t>
            </w:r>
          </w:p>
        </w:tc>
        <w:tc>
          <w:tcPr>
            <w:tcW w:w="2035" w:type="dxa"/>
            <w:tcBorders>
              <w:left w:val="nil"/>
              <w:bottom w:val="nil"/>
              <w:right w:val="nil"/>
              <w:insideH w:val="nil"/>
              <w:insideV w:val="nil"/>
            </w:tcBorders>
            <w:shd w:fill="auto" w:val="clear"/>
            <w:vAlign w:val="center"/>
          </w:tcPr>
          <w:p>
            <w:pPr>
              <w:pStyle w:val="Normal"/>
              <w:ind w:right="134" w:hanging="0"/>
              <w:jc w:val="right"/>
              <w:rPr>
                <w:rFonts w:ascii="Cambria" w:hAnsi="Cambria" w:eastAsia="Arial Unicode MS"/>
                <w:sz w:val="18"/>
                <w:szCs w:val="20"/>
                <w:lang w:val="en-US"/>
              </w:rPr>
            </w:pPr>
            <w:r>
              <w:rPr>
                <w:rFonts w:eastAsia="Calibri" w:cs="Arial" w:ascii="Arial" w:hAnsi="Arial"/>
                <w:b/>
                <w:bCs/>
                <w:color w:val="000000"/>
                <w:sz w:val="18"/>
                <w:szCs w:val="18"/>
                <w:lang w:eastAsia="en-US" w:bidi="ar-SA"/>
              </w:rPr>
              <w:t>31.12.2018</w:t>
            </w:r>
          </w:p>
        </w:tc>
        <w:tc>
          <w:tcPr>
            <w:tcW w:w="1923" w:type="dxa"/>
            <w:tcBorders>
              <w:left w:val="nil"/>
              <w:bottom w:val="nil"/>
              <w:right w:val="nil"/>
              <w:insideH w:val="nil"/>
              <w:insideV w:val="nil"/>
            </w:tcBorders>
            <w:shd w:fill="auto" w:val="clear"/>
            <w:vAlign w:val="center"/>
          </w:tcPr>
          <w:p>
            <w:pPr>
              <w:pStyle w:val="Normal"/>
              <w:ind w:right="134" w:hanging="0"/>
              <w:jc w:val="right"/>
              <w:rPr>
                <w:rFonts w:ascii="Cambria" w:hAnsi="Cambria" w:eastAsia="Arial Unicode MS"/>
                <w:sz w:val="18"/>
                <w:szCs w:val="20"/>
              </w:rPr>
            </w:pPr>
            <w:r>
              <w:rPr>
                <w:rFonts w:eastAsia="Calibri" w:cs="Arial" w:ascii="Arial" w:hAnsi="Arial"/>
                <w:b/>
                <w:bCs/>
                <w:color w:val="000000"/>
                <w:sz w:val="18"/>
                <w:szCs w:val="18"/>
                <w:lang w:eastAsia="en-US" w:bidi="ar-SA"/>
              </w:rPr>
              <w:t>31.12.2017</w:t>
            </w:r>
          </w:p>
        </w:tc>
        <w:tc>
          <w:tcPr>
            <w:tcW w:w="1921" w:type="dxa"/>
            <w:tcBorders>
              <w:left w:val="nil"/>
              <w:bottom w:val="nil"/>
              <w:right w:val="nil"/>
              <w:insideH w:val="nil"/>
              <w:insideV w:val="nil"/>
            </w:tcBorders>
            <w:shd w:fill="auto" w:val="clear"/>
            <w:vAlign w:val="center"/>
          </w:tcPr>
          <w:p>
            <w:pPr>
              <w:pStyle w:val="Normal"/>
              <w:ind w:right="134" w:hanging="0"/>
              <w:jc w:val="right"/>
              <w:rPr>
                <w:rFonts w:ascii="Cambria" w:hAnsi="Cambria" w:eastAsia="Arial Unicode MS"/>
                <w:sz w:val="18"/>
                <w:szCs w:val="20"/>
                <w:lang w:val="en-US"/>
              </w:rPr>
            </w:pPr>
            <w:r>
              <w:rPr>
                <w:rFonts w:eastAsia="Calibri" w:cs="Arial" w:ascii="Arial" w:hAnsi="Arial"/>
                <w:b/>
                <w:bCs/>
                <w:color w:val="000000"/>
                <w:sz w:val="18"/>
                <w:szCs w:val="18"/>
                <w:lang w:eastAsia="en-US" w:bidi="ar-SA"/>
              </w:rPr>
              <w:t>01.01.2017</w:t>
            </w:r>
          </w:p>
        </w:tc>
      </w:tr>
      <w:tr>
        <w:trPr>
          <w:trHeight w:val="571" w:hRule="atLeast"/>
        </w:trPr>
        <w:tc>
          <w:tcPr>
            <w:tcW w:w="3842" w:type="dxa"/>
            <w:tcBorders>
              <w:top w:val="nil"/>
              <w:left w:val="nil"/>
              <w:bottom w:val="nil"/>
              <w:right w:val="nil"/>
              <w:insideH w:val="nil"/>
              <w:insideV w:val="nil"/>
            </w:tcBorders>
            <w:shd w:fill="auto" w:val="clear"/>
            <w:vAlign w:val="bottom"/>
          </w:tcPr>
          <w:p>
            <w:pPr>
              <w:pStyle w:val="Normal"/>
              <w:ind w:right="134" w:hanging="0"/>
              <w:rPr>
                <w:rFonts w:ascii="Cambria" w:hAnsi="Cambria" w:eastAsia="Times New Roman"/>
                <w:sz w:val="18"/>
                <w:szCs w:val="18"/>
                <w:lang w:eastAsia="ru-RU"/>
              </w:rPr>
            </w:pPr>
            <w:r>
              <w:rPr>
                <w:rFonts w:eastAsia="Times New Roman" w:ascii="Cambria" w:hAnsi="Cambria"/>
                <w:sz w:val="18"/>
                <w:szCs w:val="18"/>
                <w:lang w:eastAsia="en-US" w:bidi="ar-SA"/>
              </w:rPr>
              <w:t>Задолженность перед управляющей компанией</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Arial Unicode MS"/>
                <w:sz w:val="18"/>
                <w:szCs w:val="20"/>
              </w:rPr>
            </w:pPr>
            <w:r>
              <w:rPr>
                <w:rFonts w:eastAsia="Calibri" w:cs="Arial" w:ascii="Arial" w:hAnsi="Arial"/>
                <w:color w:val="000000"/>
                <w:sz w:val="18"/>
                <w:szCs w:val="18"/>
                <w:lang w:eastAsia="en-US" w:bidi="ar-SA"/>
              </w:rPr>
              <w:t> </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Arial Unicode MS"/>
                <w:sz w:val="18"/>
                <w:szCs w:val="20"/>
              </w:rPr>
            </w:pPr>
            <w:r>
              <w:rPr>
                <w:rFonts w:eastAsia="Calibri" w:cs="Arial" w:ascii="Arial" w:hAnsi="Arial"/>
                <w:color w:val="000000"/>
                <w:sz w:val="18"/>
                <w:szCs w:val="18"/>
                <w:lang w:eastAsia="en-US" w:bidi="ar-SA"/>
              </w:rPr>
              <w:t> </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Arial Unicode MS"/>
                <w:sz w:val="18"/>
                <w:szCs w:val="20"/>
                <w:lang w:val="en-US"/>
              </w:rPr>
            </w:pPr>
            <w:r>
              <w:rPr>
                <w:rFonts w:eastAsia="Calibri" w:cs="Arial" w:ascii="Arial" w:hAnsi="Arial"/>
                <w:color w:val="000000"/>
                <w:sz w:val="18"/>
                <w:szCs w:val="18"/>
                <w:lang w:eastAsia="en-US" w:bidi="ar-SA"/>
              </w:rPr>
              <w:t> </w:t>
            </w:r>
          </w:p>
        </w:tc>
      </w:tr>
      <w:tr>
        <w:trPr>
          <w:trHeight w:val="281" w:hRule="atLeast"/>
        </w:trPr>
        <w:tc>
          <w:tcPr>
            <w:tcW w:w="3842"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lang w:eastAsia="ru-RU"/>
              </w:rPr>
            </w:pPr>
            <w:r>
              <w:rPr>
                <w:rFonts w:eastAsia="Times New Roman" w:ascii="Cambria" w:hAnsi="Cambria"/>
                <w:sz w:val="18"/>
                <w:szCs w:val="18"/>
                <w:lang w:eastAsia="en-US" w:bidi="ar-SA"/>
              </w:rPr>
              <w:t>Связанные стороны</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4 330</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1 848</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1 547</w:t>
            </w:r>
          </w:p>
        </w:tc>
      </w:tr>
      <w:tr>
        <w:trPr>
          <w:trHeight w:val="347" w:hRule="atLeast"/>
        </w:trPr>
        <w:tc>
          <w:tcPr>
            <w:tcW w:w="3842" w:type="dxa"/>
            <w:tcBorders>
              <w:top w:val="nil"/>
              <w:left w:val="nil"/>
              <w:bottom w:val="nil"/>
              <w:right w:val="nil"/>
              <w:insideH w:val="nil"/>
              <w:insideV w:val="nil"/>
            </w:tcBorders>
            <w:shd w:fill="auto" w:val="clear"/>
            <w:vAlign w:val="bottom"/>
          </w:tcPr>
          <w:p>
            <w:pPr>
              <w:pStyle w:val="Normal"/>
              <w:ind w:right="134" w:hanging="0"/>
              <w:rPr>
                <w:rFonts w:ascii="Cambria" w:hAnsi="Cambria" w:eastAsia="Times New Roman"/>
                <w:sz w:val="18"/>
                <w:szCs w:val="18"/>
                <w:lang w:eastAsia="ru-RU"/>
              </w:rPr>
            </w:pPr>
            <w:r>
              <w:rPr>
                <w:rFonts w:eastAsia="Times New Roman" w:ascii="Cambria" w:hAnsi="Cambria"/>
                <w:sz w:val="18"/>
                <w:szCs w:val="18"/>
                <w:lang w:eastAsia="en-US" w:bidi="ar-SA"/>
              </w:rPr>
              <w:t>Кредиторская и прочая задолженность</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r>
      <w:tr>
        <w:trPr>
          <w:trHeight w:val="222" w:hRule="atLeast"/>
        </w:trPr>
        <w:tc>
          <w:tcPr>
            <w:tcW w:w="3842"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lang w:eastAsia="ru-RU"/>
              </w:rPr>
            </w:pPr>
            <w:r>
              <w:rPr>
                <w:rFonts w:eastAsia="Times New Roman" w:ascii="Cambria" w:hAnsi="Cambria"/>
                <w:i/>
                <w:sz w:val="18"/>
                <w:szCs w:val="18"/>
                <w:lang w:eastAsia="en-US" w:bidi="ar-SA"/>
              </w:rPr>
              <w:t>Связанные</w:t>
            </w:r>
            <w:r>
              <w:rPr>
                <w:rFonts w:eastAsia="Times New Roman" w:ascii="Cambria" w:hAnsi="Cambria"/>
                <w:sz w:val="18"/>
                <w:szCs w:val="18"/>
                <w:lang w:eastAsia="en-US" w:bidi="ar-SA"/>
              </w:rPr>
              <w:t xml:space="preserve"> стороны</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24 654</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xml:space="preserve">50 477 </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7 003</w:t>
            </w:r>
          </w:p>
        </w:tc>
      </w:tr>
      <w:tr>
        <w:trPr>
          <w:trHeight w:val="194" w:hRule="atLeast"/>
        </w:trPr>
        <w:tc>
          <w:tcPr>
            <w:tcW w:w="3842" w:type="dxa"/>
            <w:tcBorders>
              <w:top w:val="nil"/>
              <w:left w:val="nil"/>
              <w:bottom w:val="nil"/>
              <w:right w:val="nil"/>
              <w:insideH w:val="nil"/>
              <w:insideV w:val="nil"/>
            </w:tcBorders>
            <w:shd w:fill="auto" w:val="clear"/>
            <w:vAlign w:val="bottom"/>
          </w:tcPr>
          <w:p>
            <w:pPr>
              <w:pStyle w:val="Normal"/>
              <w:ind w:right="134" w:hanging="0"/>
              <w:rPr>
                <w:rFonts w:ascii="Cambria" w:hAnsi="Cambria" w:eastAsia="Times New Roman"/>
                <w:sz w:val="18"/>
                <w:szCs w:val="18"/>
                <w:lang w:eastAsia="ru-RU"/>
              </w:rPr>
            </w:pPr>
            <w:r>
              <w:rPr>
                <w:rFonts w:eastAsia="Times New Roman" w:ascii="Cambria" w:hAnsi="Cambria"/>
                <w:sz w:val="18"/>
                <w:szCs w:val="18"/>
                <w:lang w:eastAsia="en-US" w:bidi="ar-SA"/>
              </w:rPr>
              <w:t xml:space="preserve">Авансы полученные </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r>
      <w:tr>
        <w:trPr>
          <w:trHeight w:val="194" w:hRule="atLeast"/>
        </w:trPr>
        <w:tc>
          <w:tcPr>
            <w:tcW w:w="3842"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i/>
                <w:sz w:val="18"/>
                <w:szCs w:val="18"/>
                <w:lang w:eastAsia="en-US" w:bidi="ar-SA"/>
              </w:rPr>
              <w:t>Связанные</w:t>
            </w:r>
            <w:r>
              <w:rPr>
                <w:rFonts w:eastAsia="Times New Roman" w:ascii="Cambria" w:hAnsi="Cambria"/>
                <w:sz w:val="18"/>
                <w:szCs w:val="18"/>
                <w:lang w:eastAsia="en-US" w:bidi="ar-SA"/>
              </w:rPr>
              <w:t xml:space="preserve"> стороны</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498</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xml:space="preserve">66  </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56 072</w:t>
            </w:r>
          </w:p>
        </w:tc>
      </w:tr>
      <w:tr>
        <w:trPr>
          <w:trHeight w:val="194" w:hRule="atLeast"/>
        </w:trPr>
        <w:tc>
          <w:tcPr>
            <w:tcW w:w="3842" w:type="dxa"/>
            <w:tcBorders>
              <w:top w:val="nil"/>
              <w:left w:val="nil"/>
              <w:bottom w:val="nil"/>
              <w:right w:val="nil"/>
              <w:insideH w:val="nil"/>
              <w:insideV w:val="nil"/>
            </w:tcBorders>
            <w:shd w:fill="auto" w:val="clear"/>
            <w:vAlign w:val="bottom"/>
          </w:tcPr>
          <w:p>
            <w:pPr>
              <w:pStyle w:val="Normal"/>
              <w:ind w:right="134" w:hanging="0"/>
              <w:rPr>
                <w:rFonts w:ascii="Cambria" w:hAnsi="Cambria" w:eastAsia="Times New Roman"/>
                <w:sz w:val="18"/>
                <w:szCs w:val="18"/>
              </w:rPr>
            </w:pPr>
            <w:r>
              <w:rPr>
                <w:rFonts w:eastAsia="Times New Roman" w:ascii="Cambria" w:hAnsi="Cambria"/>
                <w:sz w:val="18"/>
                <w:szCs w:val="18"/>
                <w:lang w:eastAsia="en-US" w:bidi="ar-SA"/>
              </w:rPr>
              <w:t>Авансы выданные</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r>
      <w:tr>
        <w:trPr>
          <w:trHeight w:val="194" w:hRule="atLeast"/>
        </w:trPr>
        <w:tc>
          <w:tcPr>
            <w:tcW w:w="3842"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i/>
                <w:sz w:val="18"/>
                <w:szCs w:val="18"/>
                <w:lang w:eastAsia="en-US" w:bidi="ar-SA"/>
              </w:rPr>
              <w:t>Связанные</w:t>
            </w:r>
            <w:r>
              <w:rPr>
                <w:rFonts w:eastAsia="Times New Roman" w:ascii="Cambria" w:hAnsi="Cambria"/>
                <w:sz w:val="18"/>
                <w:szCs w:val="18"/>
                <w:lang w:eastAsia="en-US" w:bidi="ar-SA"/>
              </w:rPr>
              <w:t xml:space="preserve"> стороны</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xml:space="preserve">- </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xml:space="preserve">8 145 </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xml:space="preserve">57 027 </w:t>
            </w:r>
          </w:p>
        </w:tc>
      </w:tr>
      <w:tr>
        <w:trPr>
          <w:trHeight w:val="194" w:hRule="atLeast"/>
        </w:trPr>
        <w:tc>
          <w:tcPr>
            <w:tcW w:w="3842" w:type="dxa"/>
            <w:tcBorders>
              <w:top w:val="nil"/>
              <w:left w:val="nil"/>
              <w:bottom w:val="nil"/>
              <w:right w:val="nil"/>
              <w:insideH w:val="nil"/>
              <w:insideV w:val="nil"/>
            </w:tcBorders>
            <w:shd w:fill="auto" w:val="clear"/>
            <w:vAlign w:val="bottom"/>
          </w:tcPr>
          <w:p>
            <w:pPr>
              <w:pStyle w:val="Normal"/>
              <w:ind w:right="134" w:hanging="0"/>
              <w:rPr>
                <w:rFonts w:ascii="Cambria" w:hAnsi="Cambria" w:eastAsia="Times New Roman"/>
                <w:sz w:val="18"/>
                <w:szCs w:val="18"/>
              </w:rPr>
            </w:pPr>
            <w:r>
              <w:rPr>
                <w:rFonts w:eastAsia="Times New Roman" w:ascii="Cambria" w:hAnsi="Cambria"/>
                <w:sz w:val="18"/>
                <w:szCs w:val="18"/>
                <w:lang w:eastAsia="en-US" w:bidi="ar-SA"/>
              </w:rPr>
              <w:t>Дебиторская и прочая задолженность</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 </w:t>
            </w:r>
          </w:p>
        </w:tc>
      </w:tr>
      <w:tr>
        <w:trPr>
          <w:trHeight w:val="194" w:hRule="atLeast"/>
        </w:trPr>
        <w:tc>
          <w:tcPr>
            <w:tcW w:w="3842"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Связанные стороны</w:t>
            </w:r>
          </w:p>
        </w:tc>
        <w:tc>
          <w:tcPr>
            <w:tcW w:w="2035"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25 663</w:t>
            </w:r>
          </w:p>
        </w:tc>
        <w:tc>
          <w:tcPr>
            <w:tcW w:w="1923"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42 399</w:t>
            </w:r>
          </w:p>
        </w:tc>
        <w:tc>
          <w:tcPr>
            <w:tcW w:w="1921" w:type="dxa"/>
            <w:tcBorders>
              <w:top w:val="nil"/>
              <w:left w:val="nil"/>
              <w:bottom w:val="nil"/>
              <w:right w:val="nil"/>
              <w:insideH w:val="nil"/>
              <w:insideV w:val="nil"/>
            </w:tcBorders>
            <w:shd w:fill="auto" w:val="clear"/>
            <w:vAlign w:val="bottom"/>
          </w:tcPr>
          <w:p>
            <w:pPr>
              <w:pStyle w:val="Normal"/>
              <w:ind w:right="134" w:hanging="0"/>
              <w:jc w:val="right"/>
              <w:rPr>
                <w:rFonts w:ascii="Cambria" w:hAnsi="Cambria" w:eastAsia="Times New Roman"/>
                <w:sz w:val="18"/>
                <w:szCs w:val="18"/>
              </w:rPr>
            </w:pPr>
            <w:r>
              <w:rPr>
                <w:rFonts w:eastAsia="Times New Roman" w:ascii="Cambria" w:hAnsi="Cambria"/>
                <w:sz w:val="18"/>
                <w:szCs w:val="18"/>
                <w:lang w:eastAsia="en-US" w:bidi="ar-SA"/>
              </w:rPr>
              <w:t>7 093</w:t>
            </w:r>
          </w:p>
        </w:tc>
      </w:tr>
    </w:tbl>
    <w:p>
      <w:pPr>
        <w:pStyle w:val="Normal"/>
        <w:spacing w:before="120" w:after="120"/>
        <w:ind w:right="136" w:hanging="0"/>
        <w:rPr>
          <w:rFonts w:ascii="Cambria" w:hAnsi="Cambria" w:eastAsia="Times New Roman"/>
          <w:sz w:val="20"/>
          <w:szCs w:val="20"/>
        </w:rPr>
      </w:pPr>
      <w:r>
        <w:rPr>
          <w:rFonts w:ascii="Cambria" w:hAnsi="Cambria"/>
          <w:sz w:val="20"/>
          <w:szCs w:val="20"/>
        </w:rPr>
        <w:tab/>
      </w:r>
    </w:p>
    <w:p>
      <w:pPr>
        <w:pStyle w:val="Normal"/>
        <w:numPr>
          <w:ilvl w:val="0"/>
          <w:numId w:val="0"/>
        </w:numPr>
        <w:spacing w:before="120" w:after="120"/>
        <w:ind w:right="136" w:hanging="0"/>
        <w:jc w:val="both"/>
        <w:outlineLvl w:val="0"/>
        <w:rPr>
          <w:rFonts w:ascii="Cambria" w:hAnsi="Cambria"/>
          <w:sz w:val="20"/>
          <w:szCs w:val="20"/>
        </w:rPr>
      </w:pPr>
      <w:r>
        <w:rPr>
          <w:rFonts w:ascii="Cambria" w:hAnsi="Cambria"/>
          <w:sz w:val="20"/>
          <w:szCs w:val="20"/>
        </w:rPr>
      </w:r>
    </w:p>
    <w:p>
      <w:pPr>
        <w:pStyle w:val="Normal"/>
        <w:numPr>
          <w:ilvl w:val="0"/>
          <w:numId w:val="0"/>
        </w:numPr>
        <w:spacing w:before="120" w:after="120"/>
        <w:ind w:right="136" w:hanging="0"/>
        <w:jc w:val="both"/>
        <w:outlineLvl w:val="0"/>
        <w:rPr>
          <w:rFonts w:ascii="Cambria" w:hAnsi="Cambria" w:eastAsia="Times New Roman"/>
          <w:sz w:val="20"/>
          <w:szCs w:val="20"/>
        </w:rPr>
      </w:pPr>
      <w:r>
        <w:rPr>
          <w:rFonts w:eastAsia="Times New Roman" w:ascii="Cambria" w:hAnsi="Cambria"/>
          <w:sz w:val="20"/>
          <w:szCs w:val="20"/>
        </w:rPr>
      </w:r>
    </w:p>
    <w:p>
      <w:pPr>
        <w:pStyle w:val="Normal"/>
        <w:numPr>
          <w:ilvl w:val="0"/>
          <w:numId w:val="0"/>
        </w:numPr>
        <w:spacing w:before="120" w:after="120"/>
        <w:ind w:right="134" w:hanging="0"/>
        <w:jc w:val="both"/>
        <w:outlineLvl w:val="0"/>
        <w:rPr>
          <w:rFonts w:ascii="Cambria" w:hAnsi="Cambria"/>
        </w:rPr>
      </w:pPr>
      <w:r>
        <w:rPr>
          <w:rFonts w:ascii="Cambria" w:hAnsi="Cambria"/>
        </w:rPr>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Настоящая консолидированная финансовая отчетность утверждена руководством 26 апреля 2019 года года. От имени руководства отчетность подписали: </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______________________ </w:t>
        <w:tab/>
        <w:t xml:space="preserve">           ____________________</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Генеральный директор </w:t>
        <w:tab/>
        <w:t xml:space="preserve">           Главный бухгалтер</w:t>
      </w:r>
    </w:p>
    <w:p>
      <w:pPr>
        <w:pStyle w:val="Normal"/>
        <w:tabs>
          <w:tab w:val="clear" w:pos="720"/>
          <w:tab w:val="left" w:pos="5670" w:leader="none"/>
        </w:tabs>
        <w:spacing w:before="120" w:after="120"/>
        <w:ind w:right="136" w:hanging="0"/>
        <w:rPr>
          <w:rFonts w:ascii="Cambria" w:hAnsi="Cambria" w:eastAsia="Calibri"/>
          <w:sz w:val="20"/>
          <w:szCs w:val="20"/>
          <w:lang w:eastAsia="en-US" w:bidi="ar-SA"/>
        </w:rPr>
      </w:pPr>
      <w:r>
        <w:rPr>
          <w:rFonts w:eastAsia="Calibri" w:ascii="Cambria" w:hAnsi="Cambria"/>
          <w:sz w:val="20"/>
          <w:szCs w:val="20"/>
          <w:lang w:eastAsia="en-US" w:bidi="ar-SA"/>
        </w:rPr>
        <w:t xml:space="preserve">Янин В.И.                                                                                                                        Рыбкина И.Ю.                                                                                                                     </w:t>
      </w:r>
    </w:p>
    <w:p>
      <w:pPr>
        <w:pStyle w:val="Normal"/>
        <w:spacing w:before="120" w:after="120"/>
        <w:ind w:right="136" w:hanging="0"/>
        <w:jc w:val="both"/>
        <w:rPr>
          <w:rFonts w:ascii="Cambria" w:hAnsi="Cambria" w:cs="Arial"/>
          <w:bCs/>
          <w:sz w:val="20"/>
          <w:szCs w:val="20"/>
          <w:lang w:bidi="ar-SA"/>
        </w:rPr>
      </w:pPr>
      <w:r>
        <w:rPr>
          <w:rFonts w:cs="Arial" w:ascii="Cambria" w:hAnsi="Cambria"/>
          <w:bCs/>
          <w:sz w:val="20"/>
          <w:szCs w:val="20"/>
          <w:lang w:bidi="ar-SA"/>
        </w:rPr>
      </w:r>
    </w:p>
    <w:p>
      <w:pPr>
        <w:pStyle w:val="Normal"/>
        <w:spacing w:before="120" w:after="120"/>
        <w:ind w:right="136" w:hanging="0"/>
        <w:jc w:val="both"/>
        <w:rPr>
          <w:rFonts w:ascii="Cambria" w:hAnsi="Cambria"/>
        </w:rPr>
      </w:pPr>
      <w:r>
        <w:rPr>
          <w:rFonts w:cs="Arial" w:ascii="Cambria" w:hAnsi="Cambria"/>
          <w:sz w:val="20"/>
          <w:szCs w:val="20"/>
          <w:lang w:bidi="ar-SA"/>
        </w:rPr>
        <w:t>г. Москва</w:t>
      </w:r>
    </w:p>
    <w:p>
      <w:pPr>
        <w:pStyle w:val="Normal"/>
        <w:numPr>
          <w:ilvl w:val="0"/>
          <w:numId w:val="0"/>
        </w:numPr>
        <w:spacing w:before="120" w:after="120"/>
        <w:ind w:right="134" w:hanging="0"/>
        <w:jc w:val="both"/>
        <w:outlineLvl w:val="0"/>
        <w:rPr/>
      </w:pPr>
      <w:r>
        <w:rPr/>
      </w:r>
    </w:p>
    <w:sectPr>
      <w:headerReference w:type="default" r:id="rId16"/>
      <w:headerReference w:type="first" r:id="rId17"/>
      <w:footerReference w:type="default" r:id="rId18"/>
      <w:footerReference w:type="first" r:id="rId19"/>
      <w:type w:val="nextPage"/>
      <w:pgSz w:w="11906" w:h="16838"/>
      <w:pgMar w:left="1134" w:right="851" w:header="680" w:top="851" w:footer="680" w:bottom="851"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Calibri Light">
    <w:charset w:val="cc"/>
    <w:family w:val="roman"/>
    <w:pitch w:val="variable"/>
  </w:font>
  <w:font w:name="Times New Roman">
    <w:charset w:val="cc"/>
    <w:family w:val="roman"/>
    <w:pitch w:val="variable"/>
  </w:font>
  <w:font w:name="Arial">
    <w:charset w:val="cc"/>
    <w:family w:val="roman"/>
    <w:pitch w:val="variable"/>
  </w:font>
  <w:font w:name="Century Schoolbook">
    <w:charset w:val="cc"/>
    <w:family w:val="roman"/>
    <w:pitch w:val="variable"/>
  </w:font>
  <w:font w:name="Gulim">
    <w:charset w:val="cc"/>
    <w:family w:val="roman"/>
    <w:pitch w:val="variable"/>
  </w:font>
  <w:font w:name="Sylfaen">
    <w:charset w:val="cc"/>
    <w:family w:val="roman"/>
    <w:pitch w:val="variable"/>
  </w:font>
  <w:font w:name="Arial Unicode MS">
    <w:charset w:val="cc"/>
    <w:family w:val="roman"/>
    <w:pitch w:val="variable"/>
  </w:font>
  <w:font w:name="Tahoma">
    <w:charset w:val="cc"/>
    <w:family w:val="roman"/>
    <w:pitch w:val="variable"/>
  </w:font>
  <w:font w:name="Cambria">
    <w:charset w:val="cc"/>
    <w:family w:val="roman"/>
    <w:pitch w:val="variable"/>
  </w:font>
  <w:font w:name="Liberation Sans">
    <w:altName w:val="Arial"/>
    <w:charset w:val="cc"/>
    <w:family w:val="swiss"/>
    <w:pitch w:val="variable"/>
  </w:font>
  <w:font w:name="Univers 45 Light">
    <w:charset w:val="cc"/>
    <w:family w:val="roman"/>
    <w:pitch w:val="variable"/>
  </w:font>
  <w:font w:name="TimesNewRomanPS-BoldMT">
    <w:charset w:val="cc"/>
    <w:family w:val="roman"/>
    <w:pitch w:val="variable"/>
  </w:font>
  <w:font w:name="TimesNewRomanPSMT">
    <w:charset w:val="cc"/>
    <w:family w:val="roman"/>
    <w:pitch w:val="variable"/>
  </w:font>
  <w:font w:name="Trebuchet MS">
    <w:charset w:val="cc"/>
    <w:family w:val="roman"/>
    <w:pitch w:val="variable"/>
  </w:font>
  <w:font w:name="Arial CYR">
    <w:charset w:val="cc"/>
    <w:family w:val="roman"/>
    <w:pitch w:val="variable"/>
  </w:font>
  <w:font w:name="Tempus Sans ITC">
    <w:charset w:val="cc"/>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73"/>
      <w:shd w:val="clear" w:color="auto" w:fill="auto"/>
      <w:spacing w:lineRule="exact" w:line="190" w:before="0" w:after="163"/>
      <w:jc w:val="right"/>
      <w:rPr>
        <w:rFonts w:ascii="Cambria" w:hAnsi="Cambria"/>
        <w:sz w:val="18"/>
        <w:szCs w:val="20"/>
      </w:rPr>
    </w:pPr>
    <w:r>
      <w:rPr/>
      <w:fldChar w:fldCharType="begin"/>
    </w:r>
    <w:r>
      <w:rPr/>
      <w:instrText> PAGE </w:instrText>
    </w:r>
    <w:r>
      <w:rPr/>
      <w:fldChar w:fldCharType="separate"/>
    </w:r>
    <w:r>
      <w:rPr/>
      <w:t>2</w:t>
    </w:r>
    <w:r>
      <w:rPr/>
      <w:fldChar w:fldCharType="end"/>
    </w:r>
  </w:p>
  <w:p>
    <w:pPr>
      <w:pStyle w:val="Style30"/>
      <w:rPr>
        <w:rFonts w:ascii="Cambria" w:hAnsi="Cambria"/>
        <w:sz w:val="18"/>
        <w:szCs w:val="20"/>
      </w:rPr>
    </w:pPr>
    <w:r>
      <w:rPr>
        <w:rFonts w:ascii="Cambria" w:hAnsi="Cambria"/>
        <w:sz w:val="18"/>
        <w:szCs w:val="2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73"/>
      <w:shd w:val="clear" w:color="auto" w:fill="auto"/>
      <w:spacing w:lineRule="exact" w:line="190" w:before="0" w:after="163"/>
      <w:jc w:val="right"/>
      <w:rPr>
        <w:rFonts w:ascii="Cambria" w:hAnsi="Cambria"/>
        <w:sz w:val="18"/>
        <w:szCs w:val="20"/>
      </w:rPr>
    </w:pPr>
    <w:r>
      <w:rPr/>
      <w:fldChar w:fldCharType="begin"/>
    </w:r>
    <w:r>
      <w:rPr/>
      <w:instrText> PAGE </w:instrText>
    </w:r>
    <w:r>
      <w:rPr/>
      <w:fldChar w:fldCharType="separate"/>
    </w:r>
    <w:r>
      <w:rPr/>
      <w:t>4</w:t>
    </w:r>
    <w:r>
      <w:rPr/>
      <w:fldChar w:fldCharType="end"/>
    </w:r>
  </w:p>
  <w:p>
    <w:pPr>
      <w:pStyle w:val="Style30"/>
      <w:rPr>
        <w:rFonts w:ascii="Cambria" w:hAnsi="Cambria"/>
        <w:sz w:val="18"/>
        <w:szCs w:val="20"/>
      </w:rPr>
    </w:pPr>
    <w:r>
      <w:rPr>
        <w:rFonts w:ascii="Cambria" w:hAnsi="Cambria"/>
        <w:sz w:val="18"/>
        <w:szCs w:val="20"/>
      </w:rPr>
      <w:t>Показатели консолидированного отчета о финансовом положении следует рассматривать в совокупности с примечаниями на стр. 7-39, которые являются неотъемлемой частью данной консолидированной финансовой отчетности.</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73"/>
      <w:shd w:val="clear" w:color="auto" w:fill="auto"/>
      <w:spacing w:lineRule="exact" w:line="190" w:before="0" w:after="163"/>
      <w:jc w:val="right"/>
      <w:rPr>
        <w:rFonts w:ascii="Cambria" w:hAnsi="Cambria"/>
        <w:sz w:val="18"/>
        <w:szCs w:val="20"/>
      </w:rPr>
    </w:pPr>
    <w:r>
      <w:rPr/>
      <w:fldChar w:fldCharType="begin"/>
    </w:r>
    <w:r>
      <w:rPr/>
      <w:instrText> PAGE </w:instrText>
    </w:r>
    <w:r>
      <w:rPr/>
      <w:fldChar w:fldCharType="separate"/>
    </w:r>
    <w:r>
      <w:rPr/>
      <w:t>5</w:t>
    </w:r>
    <w:r>
      <w:rPr/>
      <w:fldChar w:fldCharType="end"/>
    </w:r>
  </w:p>
  <w:p>
    <w:pPr>
      <w:pStyle w:val="Style30"/>
      <w:rPr>
        <w:rFonts w:ascii="Cambria" w:hAnsi="Cambria"/>
        <w:sz w:val="18"/>
        <w:szCs w:val="20"/>
      </w:rPr>
    </w:pPr>
    <w:r>
      <w:rPr>
        <w:rFonts w:ascii="Cambria" w:hAnsi="Cambria"/>
        <w:sz w:val="18"/>
        <w:szCs w:val="20"/>
      </w:rPr>
      <w:t>Показатели консолидированного отчета об изменениях в собственном капитале следует рассматривать в совокупности с примечаниями на стр. 7-39, которые являются неотъемлемой частью данной консолидированной финансовой отчетности.</w: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73"/>
      <w:shd w:val="clear" w:color="auto" w:fill="auto"/>
      <w:spacing w:lineRule="exact" w:line="190" w:before="0" w:after="163"/>
      <w:jc w:val="right"/>
      <w:rPr/>
    </w:pPr>
    <w:r>
      <w:rPr/>
      <w:fldChar w:fldCharType="begin"/>
    </w:r>
    <w:r>
      <w:rPr/>
      <w:instrText> PAGE </w:instrText>
    </w:r>
    <w:r>
      <w:rPr/>
      <w:fldChar w:fldCharType="separate"/>
    </w:r>
    <w:r>
      <w:rPr/>
      <w:t>6</w:t>
    </w:r>
    <w:r>
      <w:rPr/>
      <w:fldChar w:fldCharType="end"/>
    </w:r>
  </w:p>
  <w:p>
    <w:pPr>
      <w:pStyle w:val="Style30"/>
      <w:rPr/>
    </w:pPr>
    <w:r>
      <w:rPr>
        <w:rFonts w:ascii="Cambria" w:hAnsi="Cambria"/>
        <w:sz w:val="18"/>
        <w:szCs w:val="20"/>
      </w:rPr>
      <w:t>Показатели консолидированного отчета об изменениях в собственном капитале следует рассматривать в совокупности с примечаниями на стр. 7-39, которые являются неотъемлемой частью данной консолидированной финансовой отчетности.</w: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73"/>
      <w:shd w:val="clear" w:color="auto" w:fill="auto"/>
      <w:spacing w:lineRule="exact" w:line="190" w:before="0" w:after="163"/>
      <w:jc w:val="right"/>
      <w:rPr/>
    </w:pPr>
    <w:r>
      <w:rPr/>
      <w:fldChar w:fldCharType="begin"/>
    </w:r>
    <w:r>
      <w:rPr/>
      <w:instrText> PAGE </w:instrText>
    </w:r>
    <w:r>
      <w:rPr/>
      <w:fldChar w:fldCharType="separate"/>
    </w:r>
    <w:r>
      <w:rPr/>
      <w:t>9</w:t>
    </w:r>
    <w:r>
      <w:rPr/>
      <w:fldChar w:fldCharType="end"/>
    </w:r>
  </w:p>
  <w:p>
    <w:pPr>
      <w:pStyle w:val="Style30"/>
      <w:rPr/>
    </w:pPr>
    <w:r>
      <w:rPr>
        <w:rFonts w:ascii="Cambria" w:hAnsi="Cambria"/>
        <w:sz w:val="18"/>
        <w:szCs w:val="20"/>
      </w:rPr>
      <w:t>Показатели консолидированного отчета об изменениях в собственном капитале следует рассматривать в совокупности с примечаниями на стр. 7-39, которые являются неотъемлемой частью данной консолидированной финансовой отчетности.</w: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73"/>
      <w:shd w:val="clear" w:color="auto" w:fill="auto"/>
      <w:spacing w:lineRule="exact" w:line="190" w:before="0" w:after="163"/>
      <w:jc w:val="right"/>
      <w:rPr/>
    </w:pPr>
    <w:r>
      <w:rPr/>
      <w:fldChar w:fldCharType="begin"/>
    </w:r>
    <w:r>
      <w:rPr/>
      <w:instrText> PAGE </w:instrText>
    </w:r>
    <w:r>
      <w:rPr/>
      <w:fldChar w:fldCharType="separate"/>
    </w:r>
    <w:r>
      <w:rPr/>
      <w:t>39</w:t>
    </w:r>
    <w:r>
      <w:rPr/>
      <w:fldChar w:fldCharType="end"/>
    </w:r>
  </w:p>
  <w:p>
    <w:pPr>
      <w:pStyle w:val="Style30"/>
      <w:rPr/>
    </w:pPr>
    <w:r>
      <w:rPr>
        <w:rFonts w:ascii="Cambria" w:hAnsi="Cambria"/>
        <w:sz w:val="18"/>
        <w:szCs w:val="20"/>
      </w:rPr>
      <w:t>Показатели консолидированного отчета об изменениях в собственном капитале следует рассматривать в совокупности с примечаниями на стр. 7-39, которые являются неотъемлемой частью данной консолидированной финансовой отчетности.</w: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73"/>
      <w:shd w:val="clear" w:color="auto" w:fill="auto"/>
      <w:spacing w:lineRule="exact" w:line="190" w:before="0" w:after="163"/>
      <w:jc w:val="right"/>
      <w:rPr/>
    </w:pPr>
    <w:r>
      <w:rPr/>
      <w:fldChar w:fldCharType="begin"/>
    </w:r>
    <w:r>
      <w:rPr/>
      <w:instrText> PAGE </w:instrText>
    </w:r>
    <w:r>
      <w:rPr/>
      <w:fldChar w:fldCharType="separate"/>
    </w:r>
    <w:r>
      <w:rPr/>
      <w:t>41</w:t>
    </w:r>
    <w:r>
      <w:rPr/>
      <w:fldChar w:fldCharType="end"/>
    </w:r>
  </w:p>
  <w:p>
    <w:pPr>
      <w:pStyle w:val="Style30"/>
      <w:rPr/>
    </w:pPr>
    <w:r>
      <w:rPr>
        <w:rFonts w:ascii="Cambria" w:hAnsi="Cambria"/>
        <w:sz w:val="18"/>
        <w:szCs w:val="20"/>
      </w:rPr>
      <w:t>Показатели консолидированного отчета об изменениях в собственном капитале следует рассматривать в совокупности с примечаниями на стр. 7-39, которые являются неотъемлемой частью данной консолидированной финансовой отчетности.</w: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73"/>
      <w:shd w:val="clear" w:color="auto" w:fill="auto"/>
      <w:spacing w:lineRule="exact" w:line="190" w:before="0" w:after="163"/>
      <w:jc w:val="right"/>
      <w:rPr>
        <w:rFonts w:ascii="Cambria" w:hAnsi="Cambria"/>
        <w:sz w:val="18"/>
        <w:szCs w:val="20"/>
      </w:rPr>
    </w:pPr>
    <w:r>
      <w:rPr/>
      <w:fldChar w:fldCharType="begin"/>
    </w:r>
    <w:r>
      <w:rPr/>
      <w:instrText> PAGE </w:instrText>
    </w:r>
    <w:r>
      <w:rPr/>
      <w:fldChar w:fldCharType="separate"/>
    </w:r>
    <w:r>
      <w:rPr/>
      <w:t>45</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862348459"/>
    </w:sdtPr>
    <w:sdtContent>
      <w:p>
        <w:pPr>
          <w:pStyle w:val="Style30"/>
          <w:jc w:val="right"/>
          <w:rPr>
            <w:rFonts w:ascii="Cambria" w:hAnsi="Cambria"/>
            <w:sz w:val="18"/>
          </w:rPr>
        </w:pPr>
        <w:r>
          <w:rPr/>
          <w:fldChar w:fldCharType="begin"/>
        </w:r>
        <w:r>
          <w:rPr/>
          <w:instrText> PAGE </w:instrText>
        </w:r>
        <w:r>
          <w:rPr/>
          <w:fldChar w:fldCharType="separate"/>
        </w:r>
        <w:r>
          <w:rPr/>
          <w:t>42</w:t>
        </w:r>
        <w:r>
          <w:rPr/>
          <w:fldChar w:fldCharType="end"/>
        </w:r>
      </w:p>
      <w:p>
        <w:pPr>
          <w:pStyle w:val="Style30"/>
          <w:rPr>
            <w:rFonts w:ascii="Cambria" w:hAnsi="Cambria"/>
            <w:sz w:val="18"/>
            <w:szCs w:val="20"/>
          </w:rPr>
        </w:pPr>
        <w:r>
          <w:rPr>
            <w:rFonts w:ascii="Cambria" w:hAnsi="Cambria"/>
            <w:sz w:val="18"/>
            <w:szCs w:val="20"/>
          </w:rPr>
          <w:t>Показатели консолидированного отчета о движении денежных средств следует рассматривать в совокупности с примечаниями на стр. 7-27, которые являются неотъемлемой частью данной консолидированной финансовой отчетности.</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rStyle w:val="9pt"/>
        <w:iCs/>
        <w:sz w:val="20"/>
      </w:rPr>
    </w:pPr>
    <w:r>
      <w:rPr>
        <w:rStyle w:val="9pt"/>
        <w:iCs/>
        <w:sz w:val="20"/>
      </w:rPr>
      <w:t>АО «Завод «Компонент»</w:t>
    </w:r>
  </w:p>
  <w:p>
    <w:pPr>
      <w:pStyle w:val="Style27"/>
      <w:shd w:val="clear" w:color="auto" w:fill="auto"/>
      <w:spacing w:lineRule="auto" w:line="240" w:before="0" w:after="0"/>
      <w:jc w:val="left"/>
      <w:rPr>
        <w:sz w:val="18"/>
      </w:rPr>
    </w:pPr>
    <w:r>
      <w:rPr>
        <w:rStyle w:val="9pt"/>
        <w:iCs/>
        <w:sz w:val="20"/>
      </w:rPr>
      <w:t>___________________________________________________________________________________________________</w:t>
    </w:r>
  </w:p>
  <w:p>
    <w:pPr>
      <w:pStyle w:val="Normal"/>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rStyle w:val="9pt"/>
        <w:iCs/>
        <w:sz w:val="20"/>
      </w:rPr>
    </w:pPr>
    <w:r>
      <w:rPr>
        <w:rStyle w:val="9pt"/>
        <w:iCs/>
        <w:sz w:val="20"/>
      </w:rPr>
      <w:t>АО «Завод «Компонент»</w:t>
    </w:r>
  </w:p>
  <w:p>
    <w:pPr>
      <w:pStyle w:val="Normal"/>
      <w:tabs>
        <w:tab w:val="clear" w:pos="720"/>
        <w:tab w:val="left" w:pos="-528" w:leader="none"/>
      </w:tabs>
      <w:rPr>
        <w:rFonts w:ascii="Cambria" w:hAnsi="Cambria" w:eastAsia="Times New Roman" w:cs="Arial"/>
        <w:bCs/>
        <w:sz w:val="20"/>
        <w:szCs w:val="20"/>
      </w:rPr>
    </w:pPr>
    <w:r>
      <w:rPr>
        <w:rFonts w:eastAsia="Times New Roman" w:cs="Arial" w:ascii="Cambria" w:hAnsi="Cambria"/>
        <w:b/>
        <w:bCs/>
        <w:iCs/>
        <w:caps/>
        <w:sz w:val="20"/>
        <w:szCs w:val="20"/>
      </w:rPr>
      <w:t xml:space="preserve">консолидированный Отчет о финансовом положении по состоянию на </w:t>
    </w:r>
    <w:r>
      <w:rPr>
        <w:rFonts w:eastAsia="Times New Roman" w:cs="Arial" w:ascii="Cambria" w:hAnsi="Cambria"/>
        <w:b/>
        <w:bCs/>
        <w:iCs/>
        <w:sz w:val="20"/>
        <w:szCs w:val="20"/>
      </w:rPr>
      <w:t>31 ДЕКАБРЯ 2018 ГОДА</w:t>
    </w:r>
  </w:p>
  <w:p>
    <w:pPr>
      <w:pStyle w:val="Normal"/>
      <w:pBdr>
        <w:bottom w:val="single" w:sz="6" w:space="0" w:color="000000"/>
      </w:pBdr>
      <w:ind w:right="28" w:hanging="0"/>
      <w:rPr>
        <w:rFonts w:ascii="Cambria" w:hAnsi="Cambria" w:cs="Arial"/>
        <w:b/>
        <w:b/>
        <w:i/>
        <w:i/>
        <w:sz w:val="10"/>
        <w:szCs w:val="10"/>
        <w:lang w:bidi="ar-SA"/>
      </w:rPr>
    </w:pPr>
    <w:r>
      <w:rPr>
        <w:rFonts w:cs="Arial" w:ascii="Cambria" w:hAnsi="Cambria"/>
        <w:i/>
        <w:caps/>
        <w:sz w:val="20"/>
        <w:szCs w:val="20"/>
        <w:lang w:bidi="ar-SA"/>
      </w:rPr>
      <w:t>(</w:t>
    </w:r>
    <w:r>
      <w:rPr>
        <w:rFonts w:cs="Arial" w:ascii="Cambria" w:hAnsi="Cambria"/>
        <w:i/>
        <w:iCs/>
        <w:sz w:val="20"/>
        <w:szCs w:val="20"/>
        <w:lang w:bidi="ar-SA"/>
      </w:rPr>
      <w:t>в тысячах российских рублей, если не указано иное)</w:t>
    </w:r>
  </w:p>
  <w:p>
    <w:pPr>
      <w:pStyle w:val="Normal"/>
      <w:rPr>
        <w:sz w:val="20"/>
        <w:szCs w:val="20"/>
      </w:rPr>
    </w:pPr>
    <w:r>
      <w:rPr>
        <w:sz w:val="20"/>
        <w:szCs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rStyle w:val="9pt"/>
        <w:iCs/>
        <w:sz w:val="20"/>
      </w:rPr>
    </w:pPr>
    <w:r>
      <w:rPr>
        <w:rStyle w:val="9pt"/>
        <w:iCs/>
        <w:sz w:val="20"/>
      </w:rPr>
      <w:t>АО «Завод «Компонент»</w:t>
    </w:r>
  </w:p>
  <w:p>
    <w:pPr>
      <w:pStyle w:val="Normal"/>
      <w:tabs>
        <w:tab w:val="clear" w:pos="720"/>
        <w:tab w:val="left" w:pos="-528" w:leader="none"/>
      </w:tabs>
      <w:rPr>
        <w:rFonts w:ascii="Cambria" w:hAnsi="Cambria" w:eastAsia="Times New Roman" w:cs="Arial"/>
        <w:bCs/>
        <w:sz w:val="20"/>
        <w:szCs w:val="20"/>
      </w:rPr>
    </w:pPr>
    <w:r>
      <w:rPr>
        <w:rFonts w:eastAsia="Times New Roman" w:cs="Arial" w:ascii="Cambria" w:hAnsi="Cambria"/>
        <w:b/>
        <w:bCs/>
        <w:iCs/>
        <w:caps/>
        <w:sz w:val="20"/>
        <w:szCs w:val="20"/>
      </w:rPr>
      <w:t>КОНСОЛИДИРОВАННЫЙ ОТЧЕТ О ПРИБЫЛИ ИЛИ УБЫТКЕ И ПРОЧЕМ СОВОКУПНОМ ДОХОДЕ ЗА 2018 ГОД</w:t>
    </w:r>
  </w:p>
  <w:p>
    <w:pPr>
      <w:pStyle w:val="Normal"/>
      <w:pBdr>
        <w:bottom w:val="single" w:sz="6" w:space="0" w:color="000000"/>
      </w:pBdr>
      <w:ind w:right="28" w:hanging="0"/>
      <w:rPr>
        <w:rFonts w:ascii="Cambria" w:hAnsi="Cambria" w:cs="Arial"/>
        <w:b/>
        <w:b/>
        <w:i/>
        <w:i/>
        <w:sz w:val="10"/>
        <w:szCs w:val="10"/>
        <w:lang w:bidi="ar-SA"/>
      </w:rPr>
    </w:pPr>
    <w:r>
      <w:rPr>
        <w:rFonts w:cs="Arial" w:ascii="Cambria" w:hAnsi="Cambria"/>
        <w:i/>
        <w:caps/>
        <w:sz w:val="20"/>
        <w:szCs w:val="20"/>
        <w:lang w:bidi="ar-SA"/>
      </w:rPr>
      <w:t>(</w:t>
    </w:r>
    <w:r>
      <w:rPr>
        <w:rFonts w:cs="Arial" w:ascii="Cambria" w:hAnsi="Cambria"/>
        <w:i/>
        <w:iCs/>
        <w:sz w:val="20"/>
        <w:szCs w:val="20"/>
        <w:lang w:bidi="ar-SA"/>
      </w:rPr>
      <w:t>в тысячах российских рублей, если не указано иное)</w:t>
    </w:r>
  </w:p>
  <w:p>
    <w:pPr>
      <w:pStyle w:val="Normal"/>
      <w:rPr>
        <w:sz w:val="20"/>
        <w:szCs w:val="20"/>
      </w:rPr>
    </w:pPr>
    <w:r>
      <w:rPr>
        <w:sz w:val="20"/>
        <w:szCs w:val="2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rStyle w:val="9pt"/>
        <w:iCs/>
        <w:sz w:val="20"/>
      </w:rPr>
    </w:pPr>
    <w:r>
      <w:rPr>
        <w:rStyle w:val="9pt"/>
        <w:iCs/>
        <w:sz w:val="20"/>
      </w:rPr>
      <w:t>АО «Завод «Компонент»</w:t>
    </w:r>
  </w:p>
  <w:p>
    <w:pPr>
      <w:pStyle w:val="Normal"/>
      <w:tabs>
        <w:tab w:val="clear" w:pos="720"/>
        <w:tab w:val="left" w:pos="-528" w:leader="none"/>
      </w:tabs>
      <w:rPr>
        <w:rFonts w:ascii="Cambria" w:hAnsi="Cambria" w:eastAsia="Times New Roman" w:cs="Arial"/>
        <w:b/>
        <w:b/>
        <w:bCs/>
        <w:i/>
        <w:i/>
        <w:iCs/>
        <w:sz w:val="10"/>
        <w:szCs w:val="10"/>
      </w:rPr>
    </w:pPr>
    <w:r>
      <w:rPr>
        <w:rFonts w:eastAsia="Times New Roman" w:cs="Arial" w:ascii="Cambria" w:hAnsi="Cambria"/>
        <w:b/>
        <w:bCs/>
        <w:iCs/>
        <w:caps/>
        <w:sz w:val="20"/>
        <w:szCs w:val="20"/>
      </w:rPr>
      <w:t>консолидированный Отчет об изменениях в собственном капитале за ГОД, закончившийся 31 ДЕКАБРЯ 2018 года</w:t>
      <w:br/>
    </w:r>
    <w:r>
      <w:rPr>
        <w:rFonts w:eastAsia="Times New Roman" w:cs="Arial" w:ascii="Cambria" w:hAnsi="Cambria"/>
        <w:bCs/>
        <w:i/>
        <w:iCs/>
        <w:caps/>
        <w:sz w:val="20"/>
        <w:szCs w:val="20"/>
      </w:rPr>
      <w:t>(</w:t>
    </w:r>
    <w:r>
      <w:rPr>
        <w:rFonts w:eastAsia="Times New Roman" w:cs="Arial" w:ascii="Cambria" w:hAnsi="Cambria"/>
        <w:bCs/>
        <w:i/>
        <w:sz w:val="20"/>
        <w:szCs w:val="20"/>
      </w:rPr>
      <w:t>в тысячах российских рублей, если не указано иное)</w:t>
    </w:r>
  </w:p>
  <w:p>
    <w:pPr>
      <w:pStyle w:val="Style31"/>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rStyle w:val="9pt"/>
        <w:iCs/>
        <w:sz w:val="20"/>
      </w:rPr>
    </w:pPr>
    <w:r>
      <w:rPr>
        <w:rStyle w:val="9pt"/>
        <w:iCs/>
        <w:sz w:val="20"/>
      </w:rPr>
      <w:t>АО «Завод «Компонент»</w:t>
    </w:r>
  </w:p>
  <w:p>
    <w:pPr>
      <w:pStyle w:val="Normal"/>
      <w:tabs>
        <w:tab w:val="clear" w:pos="720"/>
        <w:tab w:val="left" w:pos="-528" w:leader="none"/>
      </w:tabs>
      <w:rPr>
        <w:rFonts w:ascii="Cambria" w:hAnsi="Cambria" w:eastAsia="Times New Roman" w:cs="Arial"/>
        <w:b/>
        <w:b/>
        <w:bCs/>
        <w:i/>
        <w:i/>
        <w:iCs/>
        <w:sz w:val="10"/>
        <w:szCs w:val="10"/>
      </w:rPr>
    </w:pPr>
    <w:r>
      <w:rPr>
        <w:rFonts w:eastAsia="Times New Roman" w:cs="Arial" w:ascii="Cambria" w:hAnsi="Cambria"/>
        <w:b/>
        <w:bCs/>
        <w:iCs/>
        <w:caps/>
        <w:sz w:val="20"/>
        <w:szCs w:val="20"/>
      </w:rPr>
      <w:t xml:space="preserve">консолидированный Отчет о движении денежных средств за ГОД, закончившийся 31 ДЕКАБРЯ 2018 года </w:t>
      <w:br/>
    </w:r>
    <w:r>
      <w:rPr>
        <w:rFonts w:eastAsia="Times New Roman" w:cs="Arial" w:ascii="Cambria" w:hAnsi="Cambria"/>
        <w:bCs/>
        <w:i/>
        <w:iCs/>
        <w:caps/>
        <w:sz w:val="20"/>
        <w:szCs w:val="20"/>
      </w:rPr>
      <w:t>(</w:t>
    </w:r>
    <w:r>
      <w:rPr>
        <w:rFonts w:eastAsia="Times New Roman" w:cs="Arial" w:ascii="Cambria" w:hAnsi="Cambria"/>
        <w:bCs/>
        <w:i/>
        <w:sz w:val="20"/>
        <w:szCs w:val="20"/>
      </w:rPr>
      <w:t>в тысячах российских рублей, если не указано иное)</w:t>
    </w:r>
  </w:p>
  <w:p>
    <w:pPr>
      <w:pStyle w:val="Style31"/>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rStyle w:val="9pt"/>
        <w:iCs/>
        <w:sz w:val="20"/>
      </w:rPr>
    </w:pPr>
    <w:r>
      <w:rPr>
        <w:rStyle w:val="9pt"/>
        <w:iCs/>
        <w:sz w:val="20"/>
      </w:rPr>
      <w:t>АО «Завод «Компонент»</w:t>
    </w:r>
  </w:p>
  <w:p>
    <w:pPr>
      <w:pStyle w:val="Normal"/>
      <w:tabs>
        <w:tab w:val="clear" w:pos="720"/>
        <w:tab w:val="left" w:pos="-528" w:leader="none"/>
      </w:tabs>
      <w:rPr>
        <w:rFonts w:ascii="Cambria" w:hAnsi="Cambria" w:eastAsia="Times New Roman" w:cs="Arial"/>
        <w:b/>
        <w:b/>
        <w:bCs/>
        <w:i/>
        <w:i/>
        <w:iCs/>
        <w:sz w:val="10"/>
        <w:szCs w:val="10"/>
      </w:rPr>
    </w:pPr>
    <w:r>
      <w:rPr>
        <w:rFonts w:eastAsia="Times New Roman" w:cs="Arial" w:ascii="Cambria" w:hAnsi="Cambria"/>
        <w:b/>
        <w:bCs/>
        <w:iCs/>
        <w:caps/>
        <w:sz w:val="20"/>
        <w:szCs w:val="20"/>
      </w:rPr>
      <w:t xml:space="preserve">Примечания к консолидированной финансовой отчетности  за ГОД, закончившийся 31 ДЕКАБРЯ 2018 года </w:t>
      <w:br/>
    </w:r>
    <w:r>
      <w:rPr>
        <w:rFonts w:eastAsia="Times New Roman" w:cs="Arial" w:ascii="Cambria" w:hAnsi="Cambria"/>
        <w:bCs/>
        <w:i/>
        <w:iCs/>
        <w:caps/>
        <w:sz w:val="20"/>
        <w:szCs w:val="20"/>
      </w:rPr>
      <w:t>(</w:t>
    </w:r>
    <w:r>
      <w:rPr>
        <w:rFonts w:eastAsia="Times New Roman" w:cs="Arial" w:ascii="Cambria" w:hAnsi="Cambria"/>
        <w:bCs/>
        <w:i/>
        <w:sz w:val="20"/>
        <w:szCs w:val="20"/>
      </w:rPr>
      <w:t>в тысячах российских рублей, если не указано иное)</w:t>
    </w:r>
  </w:p>
  <w:p>
    <w:pPr>
      <w:pStyle w:val="Style31"/>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pPr>
    <w:r>
      <w:rPr>
        <w:rStyle w:val="9pt"/>
        <w:iCs/>
        <w:sz w:val="20"/>
      </w:rPr>
      <w:t>АО «Завод «Компонент»</w:t>
    </w:r>
  </w:p>
  <w:p>
    <w:pPr>
      <w:pStyle w:val="Normal"/>
      <w:tabs>
        <w:tab w:val="clear" w:pos="720"/>
        <w:tab w:val="left" w:pos="-528" w:leader="none"/>
      </w:tabs>
      <w:rPr/>
    </w:pPr>
    <w:r>
      <w:rPr>
        <w:rFonts w:eastAsia="Times New Roman" w:cs="Arial" w:ascii="Cambria" w:hAnsi="Cambria"/>
        <w:b/>
        <w:bCs/>
        <w:iCs/>
        <w:caps/>
        <w:sz w:val="20"/>
        <w:szCs w:val="20"/>
      </w:rPr>
      <w:t xml:space="preserve">Примечания к консолидированной финансовой отчетности  за ГОД, закончившийся 31 ДЕКАБРЯ 2018 года </w:t>
      <w:br/>
    </w:r>
    <w:r>
      <w:rPr>
        <w:rFonts w:eastAsia="Times New Roman" w:cs="Arial" w:ascii="Cambria" w:hAnsi="Cambria"/>
        <w:bCs/>
        <w:i/>
        <w:iCs/>
        <w:caps/>
        <w:sz w:val="20"/>
        <w:szCs w:val="20"/>
      </w:rPr>
      <w:t>(</w:t>
    </w:r>
    <w:r>
      <w:rPr>
        <w:rFonts w:eastAsia="Times New Roman" w:cs="Arial" w:ascii="Cambria" w:hAnsi="Cambria"/>
        <w:bCs/>
        <w:i/>
        <w:sz w:val="20"/>
        <w:szCs w:val="20"/>
      </w:rPr>
      <w:t>в тысячах российских рублей, если не указано иное)</w:t>
    </w:r>
  </w:p>
  <w:p>
    <w:pPr>
      <w:pStyle w:val="Style31"/>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rStyle w:val="9pt"/>
        <w:iCs/>
        <w:sz w:val="20"/>
      </w:rPr>
    </w:pPr>
    <w:r>
      <w:rPr>
        <w:rStyle w:val="9pt"/>
        <w:iCs/>
        <w:sz w:val="20"/>
      </w:rPr>
      <w:t>АО «Завод «Компонент»</w:t>
    </w:r>
  </w:p>
  <w:p>
    <w:pPr>
      <w:pStyle w:val="Normal"/>
      <w:tabs>
        <w:tab w:val="clear" w:pos="720"/>
        <w:tab w:val="left" w:pos="-528" w:leader="none"/>
      </w:tabs>
      <w:rPr>
        <w:rFonts w:ascii="Cambria" w:hAnsi="Cambria" w:eastAsia="Times New Roman" w:cs="Arial"/>
        <w:b/>
        <w:b/>
        <w:bCs/>
        <w:iCs/>
        <w:sz w:val="20"/>
        <w:szCs w:val="20"/>
      </w:rPr>
    </w:pPr>
    <w:r>
      <w:rPr>
        <w:rFonts w:eastAsia="Times New Roman" w:cs="Arial" w:ascii="Cambria" w:hAnsi="Cambria"/>
        <w:b/>
        <w:bCs/>
        <w:iCs/>
        <w:sz w:val="20"/>
        <w:szCs w:val="20"/>
      </w:rPr>
      <w:t>ПРИМЕЧАНИЯ К КОНСОЛИДИРОВАННОЙ ФИНАНСОВОЙ ОТЧЕТНОСТИ ЗА ГОД, ЗАКОНЧИВШИЙСЯ 31 ДЕКАБРЯ 2018 ГОДА</w:t>
    </w:r>
  </w:p>
  <w:p>
    <w:pPr>
      <w:pStyle w:val="Normal"/>
      <w:tabs>
        <w:tab w:val="clear" w:pos="720"/>
        <w:tab w:val="left" w:pos="-528" w:leader="none"/>
      </w:tabs>
      <w:rPr>
        <w:rFonts w:ascii="Cambria" w:hAnsi="Cambria" w:eastAsia="Times New Roman" w:cs="Arial"/>
        <w:bCs/>
        <w:i/>
        <w:i/>
        <w:sz w:val="20"/>
        <w:szCs w:val="20"/>
      </w:rPr>
    </w:pPr>
    <w:r>
      <w:rPr>
        <w:rFonts w:eastAsia="Times New Roman" w:cs="Arial" w:ascii="Cambria" w:hAnsi="Cambria"/>
        <w:bCs/>
        <w:sz w:val="20"/>
        <w:szCs w:val="20"/>
      </w:rPr>
      <w:t xml:space="preserve"> </w:t>
    </w:r>
    <w:r>
      <w:rPr>
        <w:rFonts w:eastAsia="Times New Roman" w:cs="Arial" w:ascii="Cambria" w:hAnsi="Cambria"/>
        <w:bCs/>
        <w:sz w:val="20"/>
        <w:szCs w:val="20"/>
      </w:rPr>
      <w:t>(</w:t>
    </w:r>
    <w:r>
      <w:rPr>
        <w:rFonts w:eastAsia="Times New Roman" w:cs="Arial" w:ascii="Cambria" w:hAnsi="Cambria"/>
        <w:bCs/>
        <w:i/>
        <w:sz w:val="20"/>
        <w:szCs w:val="20"/>
      </w:rPr>
      <w:t>в тысячах российских рублей, если не указано иное)</w:t>
    </w:r>
  </w:p>
  <w:p>
    <w:pPr>
      <w:pStyle w:val="Normal"/>
      <w:tabs>
        <w:tab w:val="clear" w:pos="720"/>
        <w:tab w:val="left" w:pos="-528" w:leader="none"/>
      </w:tabs>
      <w:rPr>
        <w:sz w:val="20"/>
        <w:szCs w:val="20"/>
      </w:rPr>
    </w:pPr>
    <w:r>
      <w:rPr>
        <w:sz w:val="20"/>
        <w:szCs w:val="20"/>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7"/>
      <w:shd w:val="clear" w:color="auto" w:fill="auto"/>
      <w:spacing w:lineRule="auto" w:line="240" w:before="0" w:after="0"/>
      <w:jc w:val="left"/>
      <w:rPr>
        <w:rStyle w:val="9pt"/>
        <w:iCs/>
        <w:sz w:val="20"/>
      </w:rPr>
    </w:pPr>
    <w:r>
      <w:rPr>
        <w:rStyle w:val="9pt"/>
        <w:iCs/>
        <w:sz w:val="20"/>
      </w:rPr>
      <w:t>АО «Завод «Компонент»</w:t>
    </w:r>
  </w:p>
  <w:p>
    <w:pPr>
      <w:pStyle w:val="Normal"/>
      <w:tabs>
        <w:tab w:val="clear" w:pos="720"/>
        <w:tab w:val="left" w:pos="-528" w:leader="none"/>
      </w:tabs>
      <w:rPr>
        <w:rFonts w:ascii="Cambria" w:hAnsi="Cambria" w:eastAsia="Times New Roman" w:cs="Arial"/>
        <w:b/>
        <w:b/>
        <w:bCs/>
        <w:iCs/>
        <w:sz w:val="20"/>
        <w:szCs w:val="20"/>
      </w:rPr>
    </w:pPr>
    <w:r>
      <w:rPr>
        <w:rFonts w:eastAsia="Times New Roman" w:cs="Arial" w:ascii="Cambria" w:hAnsi="Cambria"/>
        <w:b/>
        <w:bCs/>
        <w:iCs/>
        <w:sz w:val="20"/>
        <w:szCs w:val="20"/>
      </w:rPr>
      <w:t>КОНСОЛИДИРОВАННОЙ ОТЧЕТ О ДВИЖЕНИИ ДЕНЕЖНЫХ СРЕДСТВ ЗА ГОД, ЗАКОНЧИВШИЙСЯ 31 ДЕКАБРЯ 2018 ГОДА</w:t>
    </w:r>
  </w:p>
  <w:p>
    <w:pPr>
      <w:pStyle w:val="Normal"/>
      <w:tabs>
        <w:tab w:val="clear" w:pos="720"/>
        <w:tab w:val="left" w:pos="-528" w:leader="none"/>
      </w:tabs>
      <w:rPr>
        <w:rFonts w:ascii="Cambria" w:hAnsi="Cambria" w:eastAsia="Times New Roman" w:cs="Arial"/>
        <w:bCs/>
        <w:i/>
        <w:i/>
        <w:sz w:val="20"/>
        <w:szCs w:val="20"/>
      </w:rPr>
    </w:pPr>
    <w:r>
      <w:rPr>
        <w:rFonts w:eastAsia="Times New Roman" w:cs="Arial" w:ascii="Cambria" w:hAnsi="Cambria"/>
        <w:bCs/>
        <w:sz w:val="20"/>
        <w:szCs w:val="20"/>
      </w:rPr>
      <w:t xml:space="preserve"> </w:t>
    </w:r>
    <w:r>
      <w:rPr>
        <w:rFonts w:eastAsia="Times New Roman" w:cs="Arial" w:ascii="Cambria" w:hAnsi="Cambria"/>
        <w:bCs/>
        <w:sz w:val="20"/>
        <w:szCs w:val="20"/>
      </w:rPr>
      <w:t>(</w:t>
    </w:r>
    <w:r>
      <w:rPr>
        <w:rFonts w:eastAsia="Times New Roman" w:cs="Arial" w:ascii="Cambria" w:hAnsi="Cambria"/>
        <w:bCs/>
        <w:i/>
        <w:sz w:val="20"/>
        <w:szCs w:val="20"/>
      </w:rPr>
      <w:t>в тысячах российских рублей, если не указано иное)</w:t>
    </w:r>
  </w:p>
  <w:p>
    <w:pPr>
      <w:pStyle w:val="Normal"/>
      <w:tabs>
        <w:tab w:val="clear" w:pos="720"/>
        <w:tab w:val="left" w:pos="-528"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0"/>
      <w:numFmt w:val="decimal"/>
      <w:lvlText w:val="%1"/>
      <w:lvlJc w:val="left"/>
      <w:pPr>
        <w:ind w:left="927" w:hanging="360"/>
      </w:pPr>
      <w:rPr>
        <w:sz w:val="20"/>
        <w:b/>
        <w:rFonts w:ascii="Cambria" w:hAnsi="Cambr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bullet"/>
      <w:lvlText w:val=""/>
      <w:lvlJc w:val="left"/>
      <w:pPr>
        <w:ind w:left="720" w:hanging="360"/>
      </w:pPr>
      <w:rPr>
        <w:rFonts w:ascii="Wingdings" w:hAnsi="Wingdings" w:cs="Wingdings" w:hint="default"/>
        <w:sz w:val="20"/>
        <w:b/>
        <w:szCs w:val="22"/>
        <w:color w:val="808080"/>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decimal"/>
      <w:lvlText w:val="%1."/>
      <w:lvlJc w:val="left"/>
      <w:pPr>
        <w:ind w:left="360" w:hanging="360"/>
      </w:pPr>
    </w:lvl>
    <w:lvl w:ilvl="1">
      <w:start w:val="1"/>
      <w:numFmt w:val="decimal"/>
      <w:lvlText w:val="%1.%2."/>
      <w:lvlJc w:val="left"/>
      <w:pPr>
        <w:ind w:left="792" w:hanging="432"/>
      </w:pPr>
      <w:rPr>
        <w:sz w:val="20"/>
        <w:b/>
        <w:rFonts w:ascii="Cambria" w:hAnsi="Cambr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bullet"/>
      <w:lvlText w:val=""/>
      <w:lvlJc w:val="left"/>
      <w:pPr>
        <w:ind w:left="720" w:hanging="360"/>
      </w:pPr>
      <w:rPr>
        <w:rFonts w:ascii="Wingdings" w:hAnsi="Wingdings" w:cs="Wingdings" w:hint="default"/>
        <w:sz w:val="20"/>
        <w:b/>
        <w:szCs w:val="22"/>
        <w:color w:val="808080"/>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2"/>
      <w:numFmt w:val="decimal"/>
      <w:lvlText w:val="%1"/>
      <w:lvlJc w:val="left"/>
      <w:pPr>
        <w:ind w:left="360" w:hanging="360"/>
      </w:pPr>
      <w:rPr>
        <w:b/>
      </w:rPr>
    </w:lvl>
    <w:lvl w:ilvl="1">
      <w:start w:val="1"/>
      <w:numFmt w:val="decimal"/>
      <w:lvlText w:val="%1.%2"/>
      <w:lvlJc w:val="left"/>
      <w:pPr>
        <w:ind w:left="360" w:hanging="360"/>
      </w:pPr>
      <w:rPr>
        <w:sz w:val="20"/>
        <w:b/>
        <w:rFonts w:ascii="Cambria" w:hAnsi="Cambria"/>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compat>
    <w:doNotExpandShiftReturn/>
  </w:compat>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Times New Roman" w:asciiTheme="minorHAnsi" w:eastAsiaTheme="minorEastAsia" w:hAnsiTheme="minorHAnsi"/>
        <w:szCs w:val="22"/>
        <w:lang w:val="ru-RU" w:eastAsia="ru-RU" w:bidi="ru-RU"/>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4754"/>
    <w:pPr>
      <w:widowControl/>
      <w:bidi w:val="0"/>
      <w:jc w:val="left"/>
    </w:pPr>
    <w:rPr>
      <w:rFonts w:ascii="Calibri" w:hAnsi="Calibri" w:eastAsia="" w:cs="Times New Roman" w:asciiTheme="minorHAnsi" w:eastAsiaTheme="minorEastAsia" w:hAnsiTheme="minorHAnsi"/>
      <w:color w:val="auto"/>
      <w:kern w:val="0"/>
      <w:sz w:val="24"/>
      <w:szCs w:val="24"/>
      <w:lang w:val="ru-RU" w:eastAsia="ru-RU" w:bidi="ru-RU"/>
    </w:rPr>
  </w:style>
  <w:style w:type="paragraph" w:styleId="1">
    <w:name w:val="Heading 1"/>
    <w:basedOn w:val="Normal"/>
    <w:next w:val="Normal"/>
    <w:link w:val="10"/>
    <w:uiPriority w:val="9"/>
    <w:qFormat/>
    <w:rsid w:val="00ac4754"/>
    <w:pPr>
      <w:keepNext w:val="true"/>
      <w:spacing w:before="240" w:after="60"/>
      <w:outlineLvl w:val="0"/>
    </w:pPr>
    <w:rPr>
      <w:rFonts w:ascii="Calibri Light" w:hAnsi="Calibri Light" w:eastAsia="" w:cs="" w:asciiTheme="majorHAnsi" w:cstheme="majorBidi" w:eastAsiaTheme="majorEastAsia" w:hAnsiTheme="majorHAnsi"/>
      <w:b/>
      <w:bCs/>
      <w:kern w:val="2"/>
      <w:sz w:val="32"/>
      <w:szCs w:val="32"/>
    </w:rPr>
  </w:style>
  <w:style w:type="paragraph" w:styleId="2">
    <w:name w:val="Heading 2"/>
    <w:basedOn w:val="Normal"/>
    <w:next w:val="Normal"/>
    <w:link w:val="20"/>
    <w:uiPriority w:val="9"/>
    <w:semiHidden/>
    <w:unhideWhenUsed/>
    <w:qFormat/>
    <w:rsid w:val="00ac4754"/>
    <w:pPr>
      <w:keepNext w:val="true"/>
      <w:spacing w:before="240" w:after="60"/>
      <w:outlineLvl w:val="1"/>
    </w:pPr>
    <w:rPr>
      <w:rFonts w:ascii="Calibri Light" w:hAnsi="Calibri Light" w:eastAsia="" w:cs="" w:asciiTheme="majorHAnsi" w:cstheme="majorBidi" w:eastAsiaTheme="majorEastAsia" w:hAnsiTheme="majorHAnsi"/>
      <w:b/>
      <w:bCs/>
      <w:i/>
      <w:iCs/>
      <w:sz w:val="28"/>
      <w:szCs w:val="28"/>
    </w:rPr>
  </w:style>
  <w:style w:type="paragraph" w:styleId="3">
    <w:name w:val="Heading 3"/>
    <w:basedOn w:val="Normal"/>
    <w:next w:val="Normal"/>
    <w:link w:val="30"/>
    <w:uiPriority w:val="9"/>
    <w:semiHidden/>
    <w:unhideWhenUsed/>
    <w:qFormat/>
    <w:rsid w:val="00ac4754"/>
    <w:pPr>
      <w:keepNext w:val="true"/>
      <w:spacing w:before="240" w:after="60"/>
      <w:outlineLvl w:val="2"/>
    </w:pPr>
    <w:rPr>
      <w:rFonts w:ascii="Calibri Light" w:hAnsi="Calibri Light" w:eastAsia="" w:asciiTheme="majorHAnsi" w:eastAsiaTheme="majorEastAsia" w:hAnsiTheme="majorHAnsi"/>
      <w:b/>
      <w:bCs/>
      <w:sz w:val="26"/>
      <w:szCs w:val="26"/>
    </w:rPr>
  </w:style>
  <w:style w:type="paragraph" w:styleId="4">
    <w:name w:val="Heading 4"/>
    <w:basedOn w:val="Normal"/>
    <w:next w:val="Normal"/>
    <w:link w:val="40"/>
    <w:uiPriority w:val="9"/>
    <w:semiHidden/>
    <w:unhideWhenUsed/>
    <w:qFormat/>
    <w:rsid w:val="00ac4754"/>
    <w:pPr>
      <w:keepNext w:val="true"/>
      <w:spacing w:before="240" w:after="60"/>
      <w:outlineLvl w:val="3"/>
    </w:pPr>
    <w:rPr>
      <w:b/>
      <w:bCs/>
      <w:sz w:val="28"/>
      <w:szCs w:val="28"/>
    </w:rPr>
  </w:style>
  <w:style w:type="paragraph" w:styleId="5">
    <w:name w:val="Heading 5"/>
    <w:basedOn w:val="Normal"/>
    <w:next w:val="Normal"/>
    <w:link w:val="50"/>
    <w:uiPriority w:val="9"/>
    <w:semiHidden/>
    <w:unhideWhenUsed/>
    <w:qFormat/>
    <w:rsid w:val="00ac4754"/>
    <w:pPr>
      <w:spacing w:before="240" w:after="60"/>
      <w:outlineLvl w:val="4"/>
    </w:pPr>
    <w:rPr>
      <w:b/>
      <w:bCs/>
      <w:i/>
      <w:iCs/>
      <w:sz w:val="26"/>
      <w:szCs w:val="26"/>
    </w:rPr>
  </w:style>
  <w:style w:type="paragraph" w:styleId="6">
    <w:name w:val="Heading 6"/>
    <w:basedOn w:val="Normal"/>
    <w:next w:val="Normal"/>
    <w:link w:val="60"/>
    <w:uiPriority w:val="9"/>
    <w:semiHidden/>
    <w:unhideWhenUsed/>
    <w:qFormat/>
    <w:rsid w:val="00ac4754"/>
    <w:pPr>
      <w:spacing w:before="240" w:after="60"/>
      <w:outlineLvl w:val="5"/>
    </w:pPr>
    <w:rPr>
      <w:b/>
      <w:bCs/>
      <w:sz w:val="22"/>
      <w:szCs w:val="22"/>
    </w:rPr>
  </w:style>
  <w:style w:type="paragraph" w:styleId="7">
    <w:name w:val="Heading 7"/>
    <w:basedOn w:val="Normal"/>
    <w:next w:val="Normal"/>
    <w:link w:val="70"/>
    <w:uiPriority w:val="9"/>
    <w:semiHidden/>
    <w:unhideWhenUsed/>
    <w:qFormat/>
    <w:rsid w:val="00ac4754"/>
    <w:pPr>
      <w:spacing w:before="240" w:after="60"/>
      <w:outlineLvl w:val="6"/>
    </w:pPr>
    <w:rPr/>
  </w:style>
  <w:style w:type="paragraph" w:styleId="8">
    <w:name w:val="Heading 8"/>
    <w:basedOn w:val="Normal"/>
    <w:next w:val="Normal"/>
    <w:link w:val="80"/>
    <w:uiPriority w:val="9"/>
    <w:semiHidden/>
    <w:unhideWhenUsed/>
    <w:qFormat/>
    <w:rsid w:val="00ac4754"/>
    <w:pPr>
      <w:spacing w:before="240" w:after="60"/>
      <w:outlineLvl w:val="7"/>
    </w:pPr>
    <w:rPr>
      <w:i/>
      <w:iCs/>
    </w:rPr>
  </w:style>
  <w:style w:type="paragraph" w:styleId="9">
    <w:name w:val="Heading 9"/>
    <w:basedOn w:val="Normal"/>
    <w:next w:val="Normal"/>
    <w:link w:val="90"/>
    <w:uiPriority w:val="9"/>
    <w:semiHidden/>
    <w:unhideWhenUsed/>
    <w:qFormat/>
    <w:rsid w:val="00ac4754"/>
    <w:pPr>
      <w:spacing w:before="240" w:after="60"/>
      <w:outlineLvl w:val="8"/>
    </w:pPr>
    <w:rPr>
      <w:rFonts w:ascii="Calibri Light" w:hAnsi="Calibri Light" w:eastAsia="" w:asciiTheme="majorHAnsi" w:eastAsiaTheme="majorEastAsia" w:hAnsiTheme="majorHAnsi"/>
      <w:sz w:val="22"/>
      <w:szCs w:val="22"/>
    </w:rPr>
  </w:style>
  <w:style w:type="character" w:styleId="DefaultParagraphFont" w:default="1">
    <w:name w:val="Default Paragraph Font"/>
    <w:uiPriority w:val="1"/>
    <w:semiHidden/>
    <w:unhideWhenUsed/>
    <w:qFormat/>
    <w:rPr/>
  </w:style>
  <w:style w:type="character" w:styleId="Style5">
    <w:name w:val="Интернет-ссылка"/>
    <w:basedOn w:val="DefaultParagraphFont"/>
    <w:uiPriority w:val="99"/>
    <w:rPr>
      <w:color w:val="0066CC"/>
      <w:u w:val="single"/>
    </w:rPr>
  </w:style>
  <w:style w:type="character" w:styleId="31" w:customStyle="1">
    <w:name w:val="Основной текст (3)_"/>
    <w:basedOn w:val="DefaultParagraphFont"/>
    <w:link w:val="32"/>
    <w:qFormat/>
    <w:rPr>
      <w:rFonts w:ascii="Times New Roman" w:hAnsi="Times New Roman" w:eastAsia="Times New Roman" w:cs="Times New Roman"/>
      <w:b/>
      <w:bCs/>
      <w:i w:val="false"/>
      <w:iCs w:val="false"/>
      <w:caps w:val="false"/>
      <w:smallCaps w:val="false"/>
      <w:strike w:val="false"/>
      <w:dstrike w:val="false"/>
      <w:sz w:val="32"/>
      <w:szCs w:val="32"/>
      <w:u w:val="none"/>
    </w:rPr>
  </w:style>
  <w:style w:type="character" w:styleId="3Arial14pt" w:customStyle="1">
    <w:name w:val="Основной текст (3) + Arial;14 pt;Курсив"/>
    <w:basedOn w:val="31"/>
    <w:qFormat/>
    <w:rPr>
      <w:rFonts w:ascii="Arial" w:hAnsi="Arial" w:eastAsia="Arial" w:cs="Arial"/>
      <w:b/>
      <w:bCs/>
      <w:i/>
      <w:iCs/>
      <w:caps w:val="false"/>
      <w:smallCaps w:val="false"/>
      <w:strike w:val="false"/>
      <w:dstrike w:val="false"/>
      <w:color w:val="000000"/>
      <w:spacing w:val="0"/>
      <w:w w:val="100"/>
      <w:sz w:val="28"/>
      <w:szCs w:val="28"/>
      <w:u w:val="none"/>
      <w:lang w:val="ru-RU" w:eastAsia="ru-RU" w:bidi="ru-RU"/>
    </w:rPr>
  </w:style>
  <w:style w:type="character" w:styleId="21" w:customStyle="1">
    <w:name w:val="Заголовок №2_"/>
    <w:basedOn w:val="DefaultParagraphFont"/>
    <w:link w:val="22"/>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Style6" w:customStyle="1">
    <w:name w:val="Колонтитул_"/>
    <w:basedOn w:val="DefaultParagraphFont"/>
    <w:link w:val="a5"/>
    <w:qFormat/>
    <w:rPr>
      <w:rFonts w:ascii="Times New Roman" w:hAnsi="Times New Roman" w:eastAsia="Times New Roman" w:cs="Times New Roman"/>
      <w:b w:val="false"/>
      <w:bCs w:val="false"/>
      <w:i/>
      <w:iCs/>
      <w:caps w:val="false"/>
      <w:smallCaps w:val="false"/>
      <w:strike w:val="false"/>
      <w:dstrike w:val="false"/>
      <w:sz w:val="17"/>
      <w:szCs w:val="17"/>
      <w:u w:val="none"/>
    </w:rPr>
  </w:style>
  <w:style w:type="character" w:styleId="9pt" w:customStyle="1">
    <w:name w:val="Колонтитул + 9 pt;Полужирный"/>
    <w:basedOn w:val="Style6"/>
    <w:qFormat/>
    <w:rPr>
      <w:rFonts w:ascii="Times New Roman" w:hAnsi="Times New Roman" w:eastAsia="Times New Roman" w:cs="Times New Roman"/>
      <w:b/>
      <w:bCs/>
      <w:i/>
      <w:iCs/>
      <w:caps w:val="false"/>
      <w:smallCaps w:val="false"/>
      <w:strike w:val="false"/>
      <w:dstrike w:val="false"/>
      <w:color w:val="000000"/>
      <w:spacing w:val="0"/>
      <w:w w:val="100"/>
      <w:sz w:val="18"/>
      <w:szCs w:val="18"/>
      <w:u w:val="none"/>
      <w:lang w:val="ru-RU" w:eastAsia="ru-RU" w:bidi="ru-RU"/>
    </w:rPr>
  </w:style>
  <w:style w:type="character" w:styleId="32" w:customStyle="1">
    <w:name w:val="Оглавление 3 Знак"/>
    <w:basedOn w:val="DefaultParagraphFont"/>
    <w:link w:val="34"/>
    <w:uiPriority w:val="39"/>
    <w:qFormat/>
    <w:rPr>
      <w:rFonts w:cs="Calibri" w:cstheme="minorHAnsi"/>
      <w:sz w:val="20"/>
      <w:szCs w:val="20"/>
    </w:rPr>
  </w:style>
  <w:style w:type="character" w:styleId="Exact" w:customStyle="1">
    <w:name w:val="Подпись к картинке Exact"/>
    <w:basedOn w:val="DefaultParagraphFont"/>
    <w:link w:val="a6"/>
    <w:qFormat/>
    <w:rPr>
      <w:rFonts w:ascii="Times New Roman" w:hAnsi="Times New Roman" w:eastAsia="Times New Roman" w:cs="Times New Roman"/>
      <w:b w:val="false"/>
      <w:bCs w:val="false"/>
      <w:i w:val="false"/>
      <w:iCs w:val="false"/>
      <w:caps w:val="false"/>
      <w:smallCaps w:val="false"/>
      <w:strike w:val="false"/>
      <w:dstrike w:val="false"/>
      <w:sz w:val="17"/>
      <w:szCs w:val="17"/>
      <w:u w:val="none"/>
    </w:rPr>
  </w:style>
  <w:style w:type="character" w:styleId="5Exact" w:customStyle="1">
    <w:name w:val="Основной текст (5) Exact"/>
    <w:basedOn w:val="DefaultParagraphFont"/>
    <w:qFormat/>
    <w:rPr>
      <w:rFonts w:ascii="Times New Roman" w:hAnsi="Times New Roman" w:eastAsia="Times New Roman" w:cs="Times New Roman"/>
      <w:b w:val="false"/>
      <w:bCs w:val="false"/>
      <w:i w:val="false"/>
      <w:iCs w:val="false"/>
      <w:caps w:val="false"/>
      <w:smallCaps w:val="false"/>
      <w:strike w:val="false"/>
      <w:dstrike w:val="false"/>
      <w:sz w:val="17"/>
      <w:szCs w:val="17"/>
      <w:u w:val="none"/>
    </w:rPr>
  </w:style>
  <w:style w:type="character" w:styleId="6Exact" w:customStyle="1">
    <w:name w:val="Основной текст (6) Exact"/>
    <w:basedOn w:val="DefaultParagraphFont"/>
    <w:qFormat/>
    <w:rPr>
      <w:rFonts w:ascii="Times New Roman" w:hAnsi="Times New Roman" w:eastAsia="Times New Roman" w:cs="Times New Roman"/>
      <w:b w:val="false"/>
      <w:bCs w:val="false"/>
      <w:i/>
      <w:iCs/>
      <w:caps w:val="false"/>
      <w:smallCaps w:val="false"/>
      <w:strike w:val="false"/>
      <w:dstrike w:val="false"/>
      <w:sz w:val="17"/>
      <w:szCs w:val="17"/>
      <w:u w:val="none"/>
    </w:rPr>
  </w:style>
  <w:style w:type="character" w:styleId="41" w:customStyle="1">
    <w:name w:val="Основной текст (4)_"/>
    <w:basedOn w:val="DefaultParagraphFont"/>
    <w:link w:val="42"/>
    <w:qFormat/>
    <w:rPr>
      <w:rFonts w:ascii="Times New Roman" w:hAnsi="Times New Roman" w:eastAsia="Times New Roman" w:cs="Times New Roman"/>
      <w:b w:val="false"/>
      <w:bCs w:val="false"/>
      <w:i w:val="false"/>
      <w:iCs w:val="false"/>
      <w:caps w:val="false"/>
      <w:smallCaps w:val="false"/>
      <w:strike w:val="false"/>
      <w:dstrike w:val="false"/>
      <w:sz w:val="26"/>
      <w:szCs w:val="26"/>
      <w:u w:val="none"/>
    </w:rPr>
  </w:style>
  <w:style w:type="character" w:styleId="Style7" w:customStyle="1">
    <w:name w:val="Колонтитул"/>
    <w:basedOn w:val="Style6"/>
    <w:qFormat/>
    <w:rPr>
      <w:rFonts w:ascii="Times New Roman" w:hAnsi="Times New Roman" w:eastAsia="Times New Roman" w:cs="Times New Roman"/>
      <w:b w:val="false"/>
      <w:bCs w:val="false"/>
      <w:i/>
      <w:iCs/>
      <w:caps w:val="false"/>
      <w:smallCaps w:val="false"/>
      <w:strike w:val="false"/>
      <w:dstrike w:val="false"/>
      <w:color w:val="000000"/>
      <w:spacing w:val="0"/>
      <w:w w:val="100"/>
      <w:sz w:val="17"/>
      <w:szCs w:val="17"/>
      <w:u w:val="none"/>
      <w:lang w:val="ru-RU" w:eastAsia="ru-RU" w:bidi="ru-RU"/>
    </w:rPr>
  </w:style>
  <w:style w:type="character" w:styleId="22" w:customStyle="1">
    <w:name w:val="Основной текст (2)_"/>
    <w:basedOn w:val="DefaultParagraphFont"/>
    <w:link w:val="24"/>
    <w:qFormat/>
    <w:rPr>
      <w:rFonts w:ascii="Times New Roman" w:hAnsi="Times New Roman" w:eastAsia="Times New Roman" w:cs="Times New Roman"/>
      <w:b w:val="false"/>
      <w:bCs w:val="false"/>
      <w:i w:val="false"/>
      <w:iCs w:val="false"/>
      <w:caps w:val="false"/>
      <w:smallCaps w:val="false"/>
      <w:strike w:val="false"/>
      <w:dstrike w:val="false"/>
      <w:sz w:val="22"/>
      <w:szCs w:val="22"/>
      <w:u w:val="none"/>
    </w:rPr>
  </w:style>
  <w:style w:type="character" w:styleId="285pt" w:customStyle="1">
    <w:name w:val="Основной текст (2) + 8;5 pt;Полужирный"/>
    <w:basedOn w:val="22"/>
    <w:qFormat/>
    <w:rPr>
      <w:rFonts w:ascii="Times New Roman" w:hAnsi="Times New Roman" w:eastAsia="Times New Roman" w:cs="Times New Roman"/>
      <w:b/>
      <w:bCs/>
      <w:i w:val="false"/>
      <w:iCs w:val="false"/>
      <w:caps w:val="false"/>
      <w:smallCaps w:val="false"/>
      <w:strike w:val="false"/>
      <w:dstrike w:val="false"/>
      <w:color w:val="000000"/>
      <w:spacing w:val="0"/>
      <w:w w:val="100"/>
      <w:sz w:val="17"/>
      <w:szCs w:val="17"/>
      <w:u w:val="none"/>
      <w:lang w:val="ru-RU" w:eastAsia="ru-RU" w:bidi="ru-RU"/>
    </w:rPr>
  </w:style>
  <w:style w:type="character" w:styleId="285pt1" w:customStyle="1">
    <w:name w:val="Основной текст (2) + 8;5 pt"/>
    <w:basedOn w:val="22"/>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7"/>
      <w:szCs w:val="17"/>
      <w:u w:val="none"/>
      <w:lang w:val="ru-RU" w:eastAsia="ru-RU" w:bidi="ru-RU"/>
    </w:rPr>
  </w:style>
  <w:style w:type="character" w:styleId="51" w:customStyle="1">
    <w:name w:val="Основной текст (5)_"/>
    <w:basedOn w:val="DefaultParagraphFont"/>
    <w:link w:val="52"/>
    <w:qFormat/>
    <w:rPr>
      <w:rFonts w:ascii="Times New Roman" w:hAnsi="Times New Roman" w:eastAsia="Times New Roman" w:cs="Times New Roman"/>
      <w:b w:val="false"/>
      <w:bCs w:val="false"/>
      <w:i w:val="false"/>
      <w:iCs w:val="false"/>
      <w:caps w:val="false"/>
      <w:smallCaps w:val="false"/>
      <w:strike w:val="false"/>
      <w:dstrike w:val="false"/>
      <w:sz w:val="17"/>
      <w:szCs w:val="17"/>
      <w:u w:val="none"/>
    </w:rPr>
  </w:style>
  <w:style w:type="character" w:styleId="61" w:customStyle="1">
    <w:name w:val="Основной текст (6)_"/>
    <w:basedOn w:val="DefaultParagraphFont"/>
    <w:link w:val="62"/>
    <w:qFormat/>
    <w:rPr>
      <w:rFonts w:ascii="Times New Roman" w:hAnsi="Times New Roman" w:eastAsia="Times New Roman" w:cs="Times New Roman"/>
      <w:b w:val="false"/>
      <w:bCs w:val="false"/>
      <w:i/>
      <w:iCs/>
      <w:caps w:val="false"/>
      <w:smallCaps w:val="false"/>
      <w:strike w:val="false"/>
      <w:dstrike w:val="false"/>
      <w:sz w:val="17"/>
      <w:szCs w:val="17"/>
      <w:u w:val="none"/>
    </w:rPr>
  </w:style>
  <w:style w:type="character" w:styleId="71" w:customStyle="1">
    <w:name w:val="Основной текст (7)_"/>
    <w:basedOn w:val="DefaultParagraphFont"/>
    <w:link w:val="72"/>
    <w:qFormat/>
    <w:rPr>
      <w:rFonts w:ascii="Times New Roman" w:hAnsi="Times New Roman" w:eastAsia="Times New Roman" w:cs="Times New Roman"/>
      <w:b w:val="false"/>
      <w:bCs w:val="false"/>
      <w:i w:val="false"/>
      <w:iCs w:val="false"/>
      <w:caps w:val="false"/>
      <w:smallCaps w:val="false"/>
      <w:strike w:val="false"/>
      <w:dstrike w:val="false"/>
      <w:sz w:val="19"/>
      <w:szCs w:val="19"/>
      <w:u w:val="none"/>
    </w:rPr>
  </w:style>
  <w:style w:type="character" w:styleId="29pt" w:customStyle="1">
    <w:name w:val="Основной текст (2) + 9 pt;Полужирный"/>
    <w:basedOn w:val="22"/>
    <w:qFormat/>
    <w:rPr>
      <w:rFonts w:ascii="Times New Roman" w:hAnsi="Times New Roman" w:eastAsia="Times New Roman" w:cs="Times New Roman"/>
      <w:b/>
      <w:bCs/>
      <w:i w:val="false"/>
      <w:iCs w:val="false"/>
      <w:caps w:val="false"/>
      <w:smallCaps w:val="false"/>
      <w:strike w:val="false"/>
      <w:dstrike w:val="false"/>
      <w:color w:val="000000"/>
      <w:spacing w:val="0"/>
      <w:w w:val="100"/>
      <w:sz w:val="18"/>
      <w:szCs w:val="18"/>
      <w:u w:val="none"/>
      <w:lang w:val="ru-RU" w:eastAsia="ru-RU" w:bidi="ru-RU"/>
    </w:rPr>
  </w:style>
  <w:style w:type="character" w:styleId="2CenturySchoolbook21pt1pt" w:customStyle="1">
    <w:name w:val="Основной текст (2) + Century Schoolbook;21 pt;Курсив;Интервал -1 pt"/>
    <w:basedOn w:val="22"/>
    <w:qFormat/>
    <w:rPr>
      <w:rFonts w:ascii="Century Schoolbook" w:hAnsi="Century Schoolbook" w:eastAsia="Century Schoolbook" w:cs="Century Schoolbook"/>
      <w:b/>
      <w:bCs/>
      <w:i/>
      <w:iCs/>
      <w:caps w:val="false"/>
      <w:smallCaps w:val="false"/>
      <w:strike w:val="false"/>
      <w:dstrike w:val="false"/>
      <w:color w:val="000000"/>
      <w:spacing w:val="-30"/>
      <w:w w:val="100"/>
      <w:sz w:val="42"/>
      <w:szCs w:val="42"/>
      <w:u w:val="none"/>
      <w:lang w:val="ru-RU" w:eastAsia="ru-RU" w:bidi="ru-RU"/>
    </w:rPr>
  </w:style>
  <w:style w:type="character" w:styleId="285pt2" w:customStyle="1">
    <w:name w:val="Основной текст (2) + 8;5 pt;Полужирный;Курсив"/>
    <w:basedOn w:val="22"/>
    <w:qFormat/>
    <w:rPr>
      <w:rFonts w:ascii="Times New Roman" w:hAnsi="Times New Roman" w:eastAsia="Times New Roman" w:cs="Times New Roman"/>
      <w:b/>
      <w:bCs/>
      <w:i/>
      <w:iCs/>
      <w:caps w:val="false"/>
      <w:smallCaps w:val="false"/>
      <w:strike w:val="false"/>
      <w:dstrike w:val="false"/>
      <w:color w:val="000000"/>
      <w:spacing w:val="0"/>
      <w:w w:val="100"/>
      <w:sz w:val="17"/>
      <w:szCs w:val="17"/>
      <w:u w:val="none"/>
      <w:lang w:val="ru-RU" w:eastAsia="ru-RU" w:bidi="ru-RU"/>
    </w:rPr>
  </w:style>
  <w:style w:type="character" w:styleId="81" w:customStyle="1">
    <w:name w:val="Основной текст (8)_"/>
    <w:basedOn w:val="DefaultParagraphFont"/>
    <w:link w:val="82"/>
    <w:qFormat/>
    <w:rPr>
      <w:rFonts w:ascii="Times New Roman" w:hAnsi="Times New Roman" w:eastAsia="Times New Roman" w:cs="Times New Roman"/>
      <w:b/>
      <w:bCs/>
      <w:i w:val="false"/>
      <w:iCs w:val="false"/>
      <w:caps w:val="false"/>
      <w:smallCaps w:val="false"/>
      <w:strike w:val="false"/>
      <w:dstrike w:val="false"/>
      <w:sz w:val="17"/>
      <w:szCs w:val="17"/>
      <w:u w:val="none"/>
    </w:rPr>
  </w:style>
  <w:style w:type="character" w:styleId="91" w:customStyle="1">
    <w:name w:val="Основной текст (9)_"/>
    <w:basedOn w:val="DefaultParagraphFont"/>
    <w:link w:val="92"/>
    <w:qFormat/>
    <w:rPr>
      <w:rFonts w:ascii="Century Schoolbook" w:hAnsi="Century Schoolbook" w:eastAsia="Century Schoolbook" w:cs="Century Schoolbook"/>
      <w:b w:val="false"/>
      <w:bCs w:val="false"/>
      <w:i/>
      <w:iCs/>
      <w:caps w:val="false"/>
      <w:smallCaps w:val="false"/>
      <w:strike w:val="false"/>
      <w:dstrike w:val="false"/>
      <w:sz w:val="11"/>
      <w:szCs w:val="11"/>
      <w:u w:val="none"/>
    </w:rPr>
  </w:style>
  <w:style w:type="character" w:styleId="10" w:customStyle="1">
    <w:name w:val="Основной текст (10)_"/>
    <w:basedOn w:val="DefaultParagraphFont"/>
    <w:link w:val="101"/>
    <w:qFormat/>
    <w:rPr>
      <w:rFonts w:ascii="Times New Roman" w:hAnsi="Times New Roman" w:eastAsia="Times New Roman" w:cs="Times New Roman"/>
      <w:b w:val="false"/>
      <w:bCs w:val="false"/>
      <w:i/>
      <w:iCs/>
      <w:caps w:val="false"/>
      <w:smallCaps w:val="false"/>
      <w:strike w:val="false"/>
      <w:dstrike w:val="false"/>
      <w:sz w:val="12"/>
      <w:szCs w:val="12"/>
      <w:u w:val="none"/>
    </w:rPr>
  </w:style>
  <w:style w:type="character" w:styleId="265pt" w:customStyle="1">
    <w:name w:val="Основной текст (2) + 6;5 pt;Полужирный"/>
    <w:basedOn w:val="22"/>
    <w:qFormat/>
    <w:rPr>
      <w:rFonts w:ascii="Times New Roman" w:hAnsi="Times New Roman" w:eastAsia="Times New Roman" w:cs="Times New Roman"/>
      <w:b/>
      <w:bCs/>
      <w:i w:val="false"/>
      <w:iCs w:val="false"/>
      <w:caps w:val="false"/>
      <w:smallCaps w:val="false"/>
      <w:strike w:val="false"/>
      <w:dstrike w:val="false"/>
      <w:color w:val="000000"/>
      <w:spacing w:val="0"/>
      <w:w w:val="100"/>
      <w:sz w:val="13"/>
      <w:szCs w:val="13"/>
      <w:u w:val="none"/>
      <w:lang w:val="ru-RU" w:eastAsia="ru-RU" w:bidi="ru-RU"/>
    </w:rPr>
  </w:style>
  <w:style w:type="character" w:styleId="265pt1" w:customStyle="1">
    <w:name w:val="Основной текст (2) + 6;5 pt"/>
    <w:basedOn w:val="22"/>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3"/>
      <w:szCs w:val="13"/>
      <w:u w:val="none"/>
      <w:lang w:val="ru-RU" w:eastAsia="ru-RU" w:bidi="ru-RU"/>
    </w:rPr>
  </w:style>
  <w:style w:type="character" w:styleId="24pt" w:customStyle="1">
    <w:name w:val="Основной текст (2) + 4 pt"/>
    <w:basedOn w:val="22"/>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8"/>
      <w:szCs w:val="8"/>
      <w:u w:val="none"/>
      <w:lang w:val="ru-RU" w:eastAsia="ru-RU" w:bidi="ru-RU"/>
    </w:rPr>
  </w:style>
  <w:style w:type="character" w:styleId="11" w:customStyle="1">
    <w:name w:val="Основной текст (11)_"/>
    <w:basedOn w:val="DefaultParagraphFont"/>
    <w:link w:val="110"/>
    <w:qFormat/>
    <w:rPr>
      <w:rFonts w:ascii="Times New Roman" w:hAnsi="Times New Roman" w:eastAsia="Times New Roman" w:cs="Times New Roman"/>
      <w:b w:val="false"/>
      <w:bCs w:val="false"/>
      <w:i w:val="false"/>
      <w:iCs w:val="false"/>
      <w:caps w:val="false"/>
      <w:smallCaps w:val="false"/>
      <w:strike w:val="false"/>
      <w:dstrike w:val="false"/>
      <w:sz w:val="13"/>
      <w:szCs w:val="13"/>
      <w:u w:val="none"/>
    </w:rPr>
  </w:style>
  <w:style w:type="character" w:styleId="12" w:customStyle="1">
    <w:name w:val="Основной текст (12)_"/>
    <w:basedOn w:val="DefaultParagraphFont"/>
    <w:link w:val="120"/>
    <w:qFormat/>
    <w:rPr>
      <w:rFonts w:ascii="Times New Roman" w:hAnsi="Times New Roman" w:eastAsia="Times New Roman" w:cs="Times New Roman"/>
      <w:b w:val="false"/>
      <w:bCs w:val="false"/>
      <w:i w:val="false"/>
      <w:iCs w:val="false"/>
      <w:caps w:val="false"/>
      <w:smallCaps w:val="false"/>
      <w:strike w:val="false"/>
      <w:dstrike w:val="false"/>
      <w:sz w:val="12"/>
      <w:szCs w:val="12"/>
      <w:u w:val="none"/>
    </w:rPr>
  </w:style>
  <w:style w:type="character" w:styleId="13" w:customStyle="1">
    <w:name w:val="Основной текст (13)_"/>
    <w:basedOn w:val="DefaultParagraphFont"/>
    <w:link w:val="130"/>
    <w:qFormat/>
    <w:rPr>
      <w:rFonts w:ascii="Arial" w:hAnsi="Arial" w:eastAsia="Arial" w:cs="Arial"/>
      <w:b w:val="false"/>
      <w:bCs w:val="false"/>
      <w:i w:val="false"/>
      <w:iCs w:val="false"/>
      <w:caps w:val="false"/>
      <w:smallCaps w:val="false"/>
      <w:strike w:val="false"/>
      <w:dstrike w:val="false"/>
      <w:sz w:val="18"/>
      <w:szCs w:val="18"/>
      <w:u w:val="none"/>
    </w:rPr>
  </w:style>
  <w:style w:type="character" w:styleId="8Exact" w:customStyle="1">
    <w:name w:val="Основной текст (8) Exact"/>
    <w:basedOn w:val="DefaultParagraphFont"/>
    <w:qFormat/>
    <w:rPr>
      <w:rFonts w:ascii="Times New Roman" w:hAnsi="Times New Roman" w:eastAsia="Times New Roman" w:cs="Times New Roman"/>
      <w:b/>
      <w:bCs/>
      <w:i w:val="false"/>
      <w:iCs w:val="false"/>
      <w:caps w:val="false"/>
      <w:smallCaps w:val="false"/>
      <w:strike w:val="false"/>
      <w:dstrike w:val="false"/>
      <w:sz w:val="17"/>
      <w:szCs w:val="17"/>
      <w:u w:val="none"/>
    </w:rPr>
  </w:style>
  <w:style w:type="character" w:styleId="2Exact" w:customStyle="1">
    <w:name w:val="Основной текст (2) Exact"/>
    <w:basedOn w:val="DefaultParagraphFont"/>
    <w:qFormat/>
    <w:rPr>
      <w:rFonts w:ascii="Times New Roman" w:hAnsi="Times New Roman" w:eastAsia="Times New Roman" w:cs="Times New Roman"/>
      <w:b w:val="false"/>
      <w:bCs w:val="false"/>
      <w:i w:val="false"/>
      <w:iCs w:val="false"/>
      <w:caps w:val="false"/>
      <w:smallCaps w:val="false"/>
      <w:strike w:val="false"/>
      <w:dstrike w:val="false"/>
      <w:sz w:val="22"/>
      <w:szCs w:val="22"/>
      <w:u w:val="none"/>
    </w:rPr>
  </w:style>
  <w:style w:type="character" w:styleId="17Exact" w:customStyle="1">
    <w:name w:val="Основной текст (17) Exact"/>
    <w:qFormat/>
    <w:rPr>
      <w:rFonts w:ascii="Times New Roman" w:hAnsi="Times New Roman" w:eastAsia="Times New Roman" w:cs="Times New Roman"/>
      <w:b/>
      <w:bCs/>
      <w:i w:val="false"/>
      <w:iCs w:val="false"/>
      <w:caps w:val="false"/>
      <w:smallCaps w:val="false"/>
      <w:strike w:val="false"/>
      <w:dstrike w:val="false"/>
      <w:sz w:val="18"/>
      <w:szCs w:val="18"/>
      <w:u w:val="single"/>
    </w:rPr>
  </w:style>
  <w:style w:type="character" w:styleId="9pt1" w:customStyle="1">
    <w:name w:val="Колонтитул + 9 pt;Не курсив"/>
    <w:basedOn w:val="Style6"/>
    <w:qFormat/>
    <w:rPr>
      <w:rFonts w:ascii="Times New Roman" w:hAnsi="Times New Roman" w:eastAsia="Times New Roman" w:cs="Times New Roman"/>
      <w:b w:val="false"/>
      <w:bCs w:val="false"/>
      <w:i/>
      <w:iCs/>
      <w:caps w:val="false"/>
      <w:smallCaps w:val="false"/>
      <w:strike w:val="false"/>
      <w:dstrike w:val="false"/>
      <w:color w:val="000000"/>
      <w:spacing w:val="0"/>
      <w:w w:val="100"/>
      <w:sz w:val="18"/>
      <w:szCs w:val="18"/>
      <w:u w:val="none"/>
      <w:lang w:val="ru-RU" w:eastAsia="ru-RU" w:bidi="ru-RU"/>
    </w:rPr>
  </w:style>
  <w:style w:type="character" w:styleId="33" w:customStyle="1">
    <w:name w:val="Заголовок №3_"/>
    <w:basedOn w:val="DefaultParagraphFont"/>
    <w:link w:val="36"/>
    <w:qFormat/>
    <w:rPr>
      <w:rFonts w:ascii="Times New Roman" w:hAnsi="Times New Roman" w:eastAsia="Times New Roman" w:cs="Times New Roman"/>
      <w:b/>
      <w:bCs/>
      <w:i w:val="false"/>
      <w:iCs w:val="false"/>
      <w:caps w:val="false"/>
      <w:smallCaps w:val="false"/>
      <w:strike w:val="false"/>
      <w:dstrike w:val="false"/>
      <w:sz w:val="22"/>
      <w:szCs w:val="22"/>
      <w:u w:val="none"/>
    </w:rPr>
  </w:style>
  <w:style w:type="character" w:styleId="34" w:customStyle="1">
    <w:name w:val="Заголовок №3 + Малые прописные"/>
    <w:basedOn w:val="33"/>
    <w:qFormat/>
    <w:rPr>
      <w:rFonts w:ascii="Times New Roman" w:hAnsi="Times New Roman" w:eastAsia="Times New Roman" w:cs="Times New Roman"/>
      <w:b/>
      <w:bCs/>
      <w:i w:val="false"/>
      <w:iCs w:val="false"/>
      <w:smallCaps/>
      <w:strike w:val="false"/>
      <w:dstrike w:val="false"/>
      <w:color w:val="000000"/>
      <w:spacing w:val="0"/>
      <w:w w:val="100"/>
      <w:sz w:val="22"/>
      <w:szCs w:val="22"/>
      <w:u w:val="none"/>
      <w:lang w:val="ru-RU" w:eastAsia="ru-RU" w:bidi="ru-RU"/>
    </w:rPr>
  </w:style>
  <w:style w:type="character" w:styleId="14" w:customStyle="1">
    <w:name w:val="Основной текст (14)_"/>
    <w:basedOn w:val="DefaultParagraphFont"/>
    <w:link w:val="140"/>
    <w:qFormat/>
    <w:rPr>
      <w:rFonts w:ascii="Times New Roman" w:hAnsi="Times New Roman" w:eastAsia="Times New Roman" w:cs="Times New Roman"/>
      <w:b/>
      <w:bCs/>
      <w:i/>
      <w:iCs/>
      <w:caps w:val="false"/>
      <w:smallCaps w:val="false"/>
      <w:strike w:val="false"/>
      <w:dstrike w:val="false"/>
      <w:sz w:val="22"/>
      <w:szCs w:val="22"/>
      <w:u w:val="none"/>
    </w:rPr>
  </w:style>
  <w:style w:type="character" w:styleId="295pt" w:customStyle="1">
    <w:name w:val="Основной текст (2) + 9;5 pt"/>
    <w:basedOn w:val="22"/>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9"/>
      <w:szCs w:val="19"/>
      <w:u w:val="none"/>
      <w:lang w:val="ru-RU" w:eastAsia="ru-RU" w:bidi="ru-RU"/>
    </w:rPr>
  </w:style>
  <w:style w:type="character" w:styleId="2105pt" w:customStyle="1">
    <w:name w:val="Основной текст (2) + 10;5 pt"/>
    <w:basedOn w:val="22"/>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1"/>
      <w:szCs w:val="21"/>
      <w:u w:val="none"/>
      <w:lang w:val="ru-RU" w:eastAsia="ru-RU" w:bidi="ru-RU"/>
    </w:rPr>
  </w:style>
  <w:style w:type="character" w:styleId="15" w:customStyle="1">
    <w:name w:val="Основной текст (15)_"/>
    <w:basedOn w:val="DefaultParagraphFont"/>
    <w:link w:val="150"/>
    <w:qFormat/>
    <w:rPr>
      <w:rFonts w:ascii="Times New Roman" w:hAnsi="Times New Roman" w:eastAsia="Times New Roman" w:cs="Times New Roman"/>
      <w:b w:val="false"/>
      <w:bCs w:val="false"/>
      <w:i/>
      <w:iCs/>
      <w:caps w:val="false"/>
      <w:smallCaps w:val="false"/>
      <w:strike w:val="false"/>
      <w:dstrike w:val="false"/>
      <w:sz w:val="22"/>
      <w:szCs w:val="22"/>
      <w:u w:val="none"/>
    </w:rPr>
  </w:style>
  <w:style w:type="character" w:styleId="23" w:customStyle="1">
    <w:name w:val="Основной текст (2) + Курсив"/>
    <w:basedOn w:val="22"/>
    <w:qFormat/>
    <w:rPr>
      <w:rFonts w:ascii="Times New Roman" w:hAnsi="Times New Roman" w:eastAsia="Times New Roman" w:cs="Times New Roman"/>
      <w:b w:val="false"/>
      <w:bCs w:val="false"/>
      <w:i/>
      <w:iCs/>
      <w:caps w:val="false"/>
      <w:smallCaps w:val="false"/>
      <w:strike w:val="false"/>
      <w:dstrike w:val="false"/>
      <w:color w:val="000000"/>
      <w:spacing w:val="0"/>
      <w:w w:val="100"/>
      <w:sz w:val="22"/>
      <w:szCs w:val="22"/>
      <w:u w:val="none"/>
      <w:lang w:val="ru-RU" w:eastAsia="ru-RU" w:bidi="ru-RU"/>
    </w:rPr>
  </w:style>
  <w:style w:type="character" w:styleId="316pt" w:customStyle="1">
    <w:name w:val="Заголовок №3 + 16 pt"/>
    <w:basedOn w:val="33"/>
    <w:qFormat/>
    <w:rPr>
      <w:rFonts w:ascii="Times New Roman" w:hAnsi="Times New Roman" w:eastAsia="Times New Roman" w:cs="Times New Roman"/>
      <w:b/>
      <w:bCs/>
      <w:i w:val="false"/>
      <w:iCs w:val="false"/>
      <w:caps w:val="false"/>
      <w:smallCaps w:val="false"/>
      <w:strike w:val="false"/>
      <w:dstrike w:val="false"/>
      <w:color w:val="000000"/>
      <w:spacing w:val="0"/>
      <w:w w:val="100"/>
      <w:sz w:val="32"/>
      <w:szCs w:val="32"/>
      <w:u w:val="none"/>
      <w:lang w:val="en-US" w:eastAsia="en-US" w:bidi="en-US"/>
    </w:rPr>
  </w:style>
  <w:style w:type="character" w:styleId="16" w:customStyle="1">
    <w:name w:val="Основной текст (16)_"/>
    <w:basedOn w:val="DefaultParagraphFont"/>
    <w:link w:val="160"/>
    <w:qFormat/>
    <w:rPr>
      <w:rFonts w:ascii="Times New Roman" w:hAnsi="Times New Roman" w:eastAsia="Times New Roman" w:cs="Times New Roman"/>
      <w:b/>
      <w:bCs/>
      <w:i w:val="false"/>
      <w:iCs w:val="false"/>
      <w:caps w:val="false"/>
      <w:smallCaps w:val="false"/>
      <w:strike w:val="false"/>
      <w:dstrike w:val="false"/>
      <w:sz w:val="22"/>
      <w:szCs w:val="22"/>
      <w:u w:val="none"/>
    </w:rPr>
  </w:style>
  <w:style w:type="character" w:styleId="17" w:customStyle="1">
    <w:name w:val="Основной текст (17)_"/>
    <w:basedOn w:val="DefaultParagraphFont"/>
    <w:link w:val="170"/>
    <w:qFormat/>
    <w:rPr>
      <w:rFonts w:ascii="Times New Roman" w:hAnsi="Times New Roman" w:eastAsia="Times New Roman" w:cs="Times New Roman"/>
      <w:b/>
      <w:bCs/>
      <w:i w:val="false"/>
      <w:iCs w:val="false"/>
      <w:caps w:val="false"/>
      <w:smallCaps w:val="false"/>
      <w:strike w:val="false"/>
      <w:dstrike w:val="false"/>
      <w:sz w:val="18"/>
      <w:szCs w:val="18"/>
      <w:u w:val="none"/>
    </w:rPr>
  </w:style>
  <w:style w:type="character" w:styleId="171" w:customStyle="1">
    <w:name w:val="Основной текст (17)"/>
    <w:basedOn w:val="17"/>
    <w:qFormat/>
    <w:rPr>
      <w:rFonts w:ascii="Times New Roman" w:hAnsi="Times New Roman" w:eastAsia="Times New Roman" w:cs="Times New Roman"/>
      <w:b/>
      <w:bCs/>
      <w:i w:val="false"/>
      <w:iCs w:val="false"/>
      <w:caps w:val="false"/>
      <w:smallCaps w:val="false"/>
      <w:strike w:val="false"/>
      <w:dstrike w:val="false"/>
      <w:color w:val="000000"/>
      <w:spacing w:val="0"/>
      <w:w w:val="100"/>
      <w:sz w:val="18"/>
      <w:szCs w:val="18"/>
      <w:u w:val="single"/>
      <w:lang w:val="ru-RU" w:eastAsia="ru-RU" w:bidi="ru-RU"/>
    </w:rPr>
  </w:style>
  <w:style w:type="character" w:styleId="18Exact" w:customStyle="1">
    <w:name w:val="Основной текст (18) Exact"/>
    <w:basedOn w:val="DefaultParagraphFont"/>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19Exact" w:customStyle="1">
    <w:name w:val="Основной текст (19) Exact"/>
    <w:basedOn w:val="DefaultParagraphFont"/>
    <w:link w:val="19"/>
    <w:qFormat/>
    <w:rPr>
      <w:rFonts w:ascii="Gulim" w:hAnsi="Gulim" w:eastAsia="Gulim" w:cs="Gulim"/>
      <w:b w:val="false"/>
      <w:bCs w:val="false"/>
      <w:i w:val="false"/>
      <w:iCs w:val="false"/>
      <w:caps w:val="false"/>
      <w:smallCaps w:val="false"/>
      <w:strike w:val="false"/>
      <w:dstrike w:val="false"/>
      <w:spacing w:val="-20"/>
      <w:sz w:val="22"/>
      <w:szCs w:val="22"/>
      <w:u w:val="none"/>
    </w:rPr>
  </w:style>
  <w:style w:type="character" w:styleId="20Exact" w:customStyle="1">
    <w:name w:val="Основной текст (20) Exact"/>
    <w:basedOn w:val="DefaultParagraphFont"/>
    <w:link w:val="200"/>
    <w:qFormat/>
    <w:rPr>
      <w:rFonts w:ascii="Gulim" w:hAnsi="Gulim" w:eastAsia="Gulim" w:cs="Gulim"/>
      <w:b w:val="false"/>
      <w:bCs w:val="false"/>
      <w:i w:val="false"/>
      <w:iCs w:val="false"/>
      <w:caps w:val="false"/>
      <w:smallCaps w:val="false"/>
      <w:strike w:val="false"/>
      <w:dstrike w:val="false"/>
      <w:spacing w:val="-30"/>
      <w:sz w:val="22"/>
      <w:szCs w:val="22"/>
      <w:u w:val="none"/>
    </w:rPr>
  </w:style>
  <w:style w:type="character" w:styleId="22Exact" w:customStyle="1">
    <w:name w:val="Основной текст (22) Exact"/>
    <w:basedOn w:val="DefaultParagraphFont"/>
    <w:link w:val="220"/>
    <w:qFormat/>
    <w:rPr>
      <w:rFonts w:ascii="Gulim" w:hAnsi="Gulim" w:eastAsia="Gulim" w:cs="Gulim"/>
      <w:b w:val="false"/>
      <w:bCs w:val="false"/>
      <w:i/>
      <w:iCs/>
      <w:caps w:val="false"/>
      <w:smallCaps w:val="false"/>
      <w:strike w:val="false"/>
      <w:dstrike w:val="false"/>
      <w:spacing w:val="-40"/>
      <w:sz w:val="23"/>
      <w:szCs w:val="23"/>
      <w:u w:val="none"/>
    </w:rPr>
  </w:style>
  <w:style w:type="character" w:styleId="211" w:customStyle="1">
    <w:name w:val="Основной текст (21)_"/>
    <w:basedOn w:val="DefaultParagraphFont"/>
    <w:link w:val="211"/>
    <w:qFormat/>
    <w:rPr>
      <w:rFonts w:ascii="Times New Roman" w:hAnsi="Times New Roman" w:eastAsia="Times New Roman" w:cs="Times New Roman"/>
      <w:b/>
      <w:bCs/>
      <w:i/>
      <w:iCs/>
      <w:caps w:val="false"/>
      <w:smallCaps w:val="false"/>
      <w:strike w:val="false"/>
      <w:dstrike w:val="false"/>
      <w:sz w:val="15"/>
      <w:szCs w:val="15"/>
      <w:u w:val="none"/>
    </w:rPr>
  </w:style>
  <w:style w:type="character" w:styleId="Style8" w:customStyle="1">
    <w:name w:val="Подпись к таблице_"/>
    <w:basedOn w:val="DefaultParagraphFont"/>
    <w:link w:val="a9"/>
    <w:qFormat/>
    <w:rPr>
      <w:rFonts w:ascii="Times New Roman" w:hAnsi="Times New Roman" w:eastAsia="Times New Roman" w:cs="Times New Roman"/>
      <w:b/>
      <w:bCs/>
      <w:i w:val="false"/>
      <w:iCs w:val="false"/>
      <w:caps w:val="false"/>
      <w:smallCaps w:val="false"/>
      <w:strike w:val="false"/>
      <w:dstrike w:val="false"/>
      <w:sz w:val="13"/>
      <w:szCs w:val="13"/>
      <w:u w:val="none"/>
    </w:rPr>
  </w:style>
  <w:style w:type="character" w:styleId="1475pt" w:customStyle="1">
    <w:name w:val="Основной текст (14) + 7;5 pt;Малые прописные"/>
    <w:basedOn w:val="14"/>
    <w:qFormat/>
    <w:rPr>
      <w:rFonts w:ascii="Times New Roman" w:hAnsi="Times New Roman" w:eastAsia="Times New Roman" w:cs="Times New Roman"/>
      <w:b/>
      <w:bCs/>
      <w:i/>
      <w:iCs/>
      <w:smallCaps/>
      <w:strike w:val="false"/>
      <w:dstrike w:val="false"/>
      <w:color w:val="000000"/>
      <w:spacing w:val="0"/>
      <w:w w:val="100"/>
      <w:sz w:val="15"/>
      <w:szCs w:val="15"/>
      <w:u w:val="none"/>
      <w:lang w:val="ru-RU" w:eastAsia="ru-RU" w:bidi="ru-RU"/>
    </w:rPr>
  </w:style>
  <w:style w:type="character" w:styleId="24" w:customStyle="1">
    <w:name w:val="Подпись к таблице (2)_"/>
    <w:basedOn w:val="DefaultParagraphFont"/>
    <w:link w:val="27"/>
    <w:qFormat/>
    <w:rPr>
      <w:rFonts w:ascii="Times New Roman" w:hAnsi="Times New Roman" w:eastAsia="Times New Roman" w:cs="Times New Roman"/>
      <w:b/>
      <w:bCs/>
      <w:i w:val="false"/>
      <w:iCs w:val="false"/>
      <w:caps w:val="false"/>
      <w:smallCaps w:val="false"/>
      <w:strike w:val="false"/>
      <w:dstrike w:val="false"/>
      <w:sz w:val="18"/>
      <w:szCs w:val="18"/>
      <w:u w:val="none"/>
    </w:rPr>
  </w:style>
  <w:style w:type="character" w:styleId="25" w:customStyle="1">
    <w:name w:val="Подпись к таблице (2)"/>
    <w:basedOn w:val="24"/>
    <w:qFormat/>
    <w:rPr>
      <w:rFonts w:ascii="Times New Roman" w:hAnsi="Times New Roman" w:eastAsia="Times New Roman" w:cs="Times New Roman"/>
      <w:b/>
      <w:bCs/>
      <w:i w:val="false"/>
      <w:iCs w:val="false"/>
      <w:caps w:val="false"/>
      <w:smallCaps w:val="false"/>
      <w:strike w:val="false"/>
      <w:dstrike w:val="false"/>
      <w:color w:val="000000"/>
      <w:spacing w:val="0"/>
      <w:w w:val="100"/>
      <w:sz w:val="18"/>
      <w:szCs w:val="18"/>
      <w:u w:val="single"/>
      <w:lang w:val="ru-RU" w:eastAsia="ru-RU" w:bidi="ru-RU"/>
    </w:rPr>
  </w:style>
  <w:style w:type="character" w:styleId="23Exact" w:customStyle="1">
    <w:name w:val="Основной текст (23) Exact"/>
    <w:basedOn w:val="DefaultParagraphFont"/>
    <w:link w:val="230"/>
    <w:qFormat/>
    <w:rPr>
      <w:rFonts w:ascii="Gulim" w:hAnsi="Gulim" w:eastAsia="Gulim" w:cs="Gulim"/>
      <w:b w:val="false"/>
      <w:bCs w:val="false"/>
      <w:i/>
      <w:iCs/>
      <w:caps w:val="false"/>
      <w:smallCaps w:val="false"/>
      <w:strike w:val="false"/>
      <w:dstrike w:val="false"/>
      <w:spacing w:val="-40"/>
      <w:sz w:val="23"/>
      <w:szCs w:val="23"/>
      <w:u w:val="none"/>
    </w:rPr>
  </w:style>
  <w:style w:type="character" w:styleId="26" w:customStyle="1">
    <w:name w:val="Основной текст (2) + Полужирный;Курсив"/>
    <w:basedOn w:val="22"/>
    <w:qFormat/>
    <w:rPr>
      <w:rFonts w:ascii="Times New Roman" w:hAnsi="Times New Roman" w:eastAsia="Times New Roman" w:cs="Times New Roman"/>
      <w:b/>
      <w:bCs/>
      <w:i/>
      <w:iCs/>
      <w:caps w:val="false"/>
      <w:smallCaps w:val="false"/>
      <w:strike w:val="false"/>
      <w:dstrike w:val="false"/>
      <w:color w:val="000000"/>
      <w:spacing w:val="0"/>
      <w:w w:val="100"/>
      <w:sz w:val="22"/>
      <w:szCs w:val="22"/>
      <w:u w:val="none"/>
      <w:lang w:val="ru-RU" w:eastAsia="ru-RU" w:bidi="ru-RU"/>
    </w:rPr>
  </w:style>
  <w:style w:type="character" w:styleId="214pt" w:customStyle="1">
    <w:name w:val="Основной текст (2) + 14 pt;Полужирный"/>
    <w:basedOn w:val="22"/>
    <w:qFormat/>
    <w:rPr>
      <w:rFonts w:ascii="Times New Roman" w:hAnsi="Times New Roman" w:eastAsia="Times New Roman" w:cs="Times New Roman"/>
      <w:b/>
      <w:bCs/>
      <w:i w:val="false"/>
      <w:iCs w:val="false"/>
      <w:caps w:val="false"/>
      <w:smallCaps w:val="false"/>
      <w:strike w:val="false"/>
      <w:dstrike w:val="false"/>
      <w:color w:val="000000"/>
      <w:spacing w:val="0"/>
      <w:w w:val="100"/>
      <w:sz w:val="28"/>
      <w:szCs w:val="28"/>
      <w:u w:val="none"/>
      <w:lang w:val="ru-RU" w:eastAsia="ru-RU" w:bidi="ru-RU"/>
    </w:rPr>
  </w:style>
  <w:style w:type="character" w:styleId="24Exact" w:customStyle="1">
    <w:name w:val="Основной текст (24) Exact"/>
    <w:basedOn w:val="DefaultParagraphFont"/>
    <w:link w:val="240"/>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213pt" w:customStyle="1">
    <w:name w:val="Основной текст (2) + 13 pt"/>
    <w:basedOn w:val="22"/>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6"/>
      <w:szCs w:val="26"/>
      <w:u w:val="none"/>
      <w:lang w:val="ru-RU" w:eastAsia="ru-RU" w:bidi="ru-RU"/>
    </w:rPr>
  </w:style>
  <w:style w:type="character" w:styleId="213pt1pt" w:customStyle="1">
    <w:name w:val="Заголовок №2 + 13 pt;Курсив;Интервал 1 pt"/>
    <w:basedOn w:val="21"/>
    <w:qFormat/>
    <w:rPr>
      <w:rFonts w:ascii="Times New Roman" w:hAnsi="Times New Roman" w:eastAsia="Times New Roman" w:cs="Times New Roman"/>
      <w:b/>
      <w:bCs/>
      <w:i/>
      <w:iCs/>
      <w:caps w:val="false"/>
      <w:smallCaps w:val="false"/>
      <w:strike w:val="false"/>
      <w:dstrike w:val="false"/>
      <w:color w:val="000000"/>
      <w:spacing w:val="20"/>
      <w:w w:val="100"/>
      <w:sz w:val="26"/>
      <w:szCs w:val="26"/>
      <w:u w:val="none"/>
      <w:lang w:val="ru-RU" w:eastAsia="ru-RU" w:bidi="ru-RU"/>
    </w:rPr>
  </w:style>
  <w:style w:type="character" w:styleId="18" w:customStyle="1">
    <w:name w:val="Основной текст (18)_"/>
    <w:basedOn w:val="DefaultParagraphFont"/>
    <w:link w:val="180"/>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2Exact1" w:customStyle="1">
    <w:name w:val="Номер заголовка №2 Exact"/>
    <w:basedOn w:val="DefaultParagraphFont"/>
    <w:link w:val="2a"/>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22Exact1" w:customStyle="1">
    <w:name w:val="Заголовок №2 (2) Exact"/>
    <w:basedOn w:val="DefaultParagraphFont"/>
    <w:link w:val="221"/>
    <w:qFormat/>
    <w:rPr>
      <w:rFonts w:ascii="Times New Roman" w:hAnsi="Times New Roman" w:eastAsia="Times New Roman" w:cs="Times New Roman"/>
      <w:b/>
      <w:bCs/>
      <w:i w:val="false"/>
      <w:iCs w:val="false"/>
      <w:caps w:val="false"/>
      <w:smallCaps w:val="false"/>
      <w:strike w:val="false"/>
      <w:dstrike w:val="false"/>
      <w:sz w:val="28"/>
      <w:szCs w:val="28"/>
      <w:u w:val="none"/>
    </w:rPr>
  </w:style>
  <w:style w:type="character" w:styleId="295pt1" w:customStyle="1">
    <w:name w:val="Основной текст (2) + 9;5 pt;Полужирный;Курсив"/>
    <w:basedOn w:val="22"/>
    <w:qFormat/>
    <w:rPr>
      <w:rFonts w:ascii="Times New Roman" w:hAnsi="Times New Roman" w:eastAsia="Times New Roman" w:cs="Times New Roman"/>
      <w:b/>
      <w:bCs/>
      <w:i/>
      <w:iCs/>
      <w:caps w:val="false"/>
      <w:smallCaps w:val="false"/>
      <w:strike w:val="false"/>
      <w:dstrike w:val="false"/>
      <w:color w:val="000000"/>
      <w:spacing w:val="0"/>
      <w:w w:val="100"/>
      <w:sz w:val="19"/>
      <w:szCs w:val="19"/>
      <w:u w:val="none"/>
      <w:lang w:val="ru-RU" w:eastAsia="ru-RU" w:bidi="ru-RU"/>
    </w:rPr>
  </w:style>
  <w:style w:type="character" w:styleId="213pt1pt1" w:customStyle="1">
    <w:name w:val="Основной текст (2) + 13 pt;Полужирный;Курсив;Интервал 1 pt"/>
    <w:basedOn w:val="22"/>
    <w:qFormat/>
    <w:rPr>
      <w:rFonts w:ascii="Times New Roman" w:hAnsi="Times New Roman" w:eastAsia="Times New Roman" w:cs="Times New Roman"/>
      <w:b/>
      <w:bCs/>
      <w:i/>
      <w:iCs/>
      <w:caps w:val="false"/>
      <w:smallCaps w:val="false"/>
      <w:strike w:val="false"/>
      <w:dstrike w:val="false"/>
      <w:color w:val="000000"/>
      <w:spacing w:val="20"/>
      <w:w w:val="100"/>
      <w:sz w:val="26"/>
      <w:szCs w:val="26"/>
      <w:u w:val="none"/>
      <w:lang w:val="ru-RU" w:eastAsia="ru-RU" w:bidi="ru-RU"/>
    </w:rPr>
  </w:style>
  <w:style w:type="character" w:styleId="35" w:customStyle="1">
    <w:name w:val="Подпись к таблице (3)_"/>
    <w:basedOn w:val="DefaultParagraphFont"/>
    <w:link w:val="39"/>
    <w:qFormat/>
    <w:rPr>
      <w:rFonts w:ascii="Times New Roman" w:hAnsi="Times New Roman" w:eastAsia="Times New Roman" w:cs="Times New Roman"/>
      <w:b/>
      <w:bCs/>
      <w:i w:val="false"/>
      <w:iCs w:val="false"/>
      <w:caps w:val="false"/>
      <w:smallCaps w:val="false"/>
      <w:strike w:val="false"/>
      <w:dstrike w:val="false"/>
      <w:sz w:val="22"/>
      <w:szCs w:val="22"/>
      <w:u w:val="none"/>
    </w:rPr>
  </w:style>
  <w:style w:type="character" w:styleId="42" w:customStyle="1">
    <w:name w:val="Подпись к таблице (4)_"/>
    <w:basedOn w:val="DefaultParagraphFont"/>
    <w:link w:val="44"/>
    <w:qFormat/>
    <w:rPr>
      <w:rFonts w:ascii="Times New Roman" w:hAnsi="Times New Roman" w:eastAsia="Times New Roman" w:cs="Times New Roman"/>
      <w:b/>
      <w:bCs/>
      <w:i/>
      <w:iCs/>
      <w:caps w:val="false"/>
      <w:smallCaps w:val="false"/>
      <w:strike w:val="false"/>
      <w:dstrike w:val="false"/>
      <w:sz w:val="19"/>
      <w:szCs w:val="19"/>
      <w:u w:val="none"/>
    </w:rPr>
  </w:style>
  <w:style w:type="character" w:styleId="161" w:customStyle="1">
    <w:name w:val="Основной текст (16) + Малые прописные"/>
    <w:basedOn w:val="16"/>
    <w:qFormat/>
    <w:rPr>
      <w:rFonts w:ascii="Times New Roman" w:hAnsi="Times New Roman" w:eastAsia="Times New Roman" w:cs="Times New Roman"/>
      <w:b/>
      <w:bCs/>
      <w:i w:val="false"/>
      <w:iCs w:val="false"/>
      <w:smallCaps/>
      <w:strike w:val="false"/>
      <w:dstrike w:val="false"/>
      <w:color w:val="000000"/>
      <w:spacing w:val="0"/>
      <w:w w:val="100"/>
      <w:sz w:val="22"/>
      <w:szCs w:val="22"/>
      <w:u w:val="none"/>
      <w:lang w:val="ru-RU" w:eastAsia="ru-RU" w:bidi="ru-RU"/>
    </w:rPr>
  </w:style>
  <w:style w:type="character" w:styleId="14pt" w:customStyle="1">
    <w:name w:val="Колонтитул + 14 pt"/>
    <w:basedOn w:val="Style6"/>
    <w:qFormat/>
    <w:rPr>
      <w:rFonts w:ascii="Times New Roman" w:hAnsi="Times New Roman" w:eastAsia="Times New Roman" w:cs="Times New Roman"/>
      <w:b w:val="false"/>
      <w:bCs w:val="false"/>
      <w:i/>
      <w:iCs/>
      <w:caps w:val="false"/>
      <w:smallCaps w:val="false"/>
      <w:strike w:val="false"/>
      <w:dstrike w:val="false"/>
      <w:color w:val="000000"/>
      <w:spacing w:val="0"/>
      <w:w w:val="100"/>
      <w:sz w:val="28"/>
      <w:szCs w:val="28"/>
      <w:u w:val="none"/>
      <w:lang w:val="ru-RU" w:eastAsia="ru-RU" w:bidi="ru-RU"/>
    </w:rPr>
  </w:style>
  <w:style w:type="character" w:styleId="5Exact1" w:customStyle="1">
    <w:name w:val="Подпись к таблице (5) Exact"/>
    <w:basedOn w:val="DefaultParagraphFont"/>
    <w:qFormat/>
    <w:rPr>
      <w:rFonts w:ascii="Times New Roman" w:hAnsi="Times New Roman" w:eastAsia="Times New Roman" w:cs="Times New Roman"/>
      <w:b/>
      <w:bCs/>
      <w:i w:val="false"/>
      <w:iCs w:val="false"/>
      <w:caps w:val="false"/>
      <w:smallCaps w:val="false"/>
      <w:strike w:val="false"/>
      <w:dstrike w:val="false"/>
      <w:sz w:val="18"/>
      <w:szCs w:val="18"/>
      <w:u w:val="none"/>
    </w:rPr>
  </w:style>
  <w:style w:type="character" w:styleId="275pt" w:customStyle="1">
    <w:name w:val="Основной текст (2) + 7;5 pt"/>
    <w:basedOn w:val="22"/>
    <w:qFormat/>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15"/>
      <w:szCs w:val="15"/>
      <w:u w:val="none"/>
      <w:lang w:val="ru-RU" w:eastAsia="ru-RU" w:bidi="ru-RU"/>
    </w:rPr>
  </w:style>
  <w:style w:type="character" w:styleId="26Exact" w:customStyle="1">
    <w:name w:val="Основной текст (26) Exact"/>
    <w:basedOn w:val="DefaultParagraphFont"/>
    <w:qFormat/>
    <w:rPr>
      <w:rFonts w:ascii="Times New Roman" w:hAnsi="Times New Roman" w:eastAsia="Times New Roman" w:cs="Times New Roman"/>
      <w:b/>
      <w:bCs/>
      <w:i/>
      <w:iCs/>
      <w:caps w:val="false"/>
      <w:smallCaps w:val="false"/>
      <w:strike w:val="false"/>
      <w:dstrike w:val="false"/>
      <w:color w:val="000000"/>
      <w:spacing w:val="0"/>
      <w:w w:val="100"/>
      <w:sz w:val="19"/>
      <w:szCs w:val="19"/>
      <w:u w:val="single"/>
      <w:lang w:val="ru-RU" w:eastAsia="ru-RU" w:bidi="ru-RU"/>
    </w:rPr>
  </w:style>
  <w:style w:type="character" w:styleId="321" w:customStyle="1">
    <w:name w:val="Заголовок №3 (2)_"/>
    <w:basedOn w:val="DefaultParagraphFont"/>
    <w:link w:val="321"/>
    <w:qFormat/>
    <w:rPr>
      <w:rFonts w:ascii="Times New Roman" w:hAnsi="Times New Roman" w:eastAsia="Times New Roman" w:cs="Times New Roman"/>
      <w:b/>
      <w:bCs/>
      <w:i w:val="false"/>
      <w:iCs w:val="false"/>
      <w:caps w:val="false"/>
      <w:smallCaps w:val="false"/>
      <w:strike w:val="false"/>
      <w:dstrike w:val="false"/>
      <w:sz w:val="18"/>
      <w:szCs w:val="18"/>
      <w:u w:val="none"/>
    </w:rPr>
  </w:style>
  <w:style w:type="character" w:styleId="322" w:customStyle="1">
    <w:name w:val="Заголовок №3 (2) + Малые прописные"/>
    <w:basedOn w:val="321"/>
    <w:qFormat/>
    <w:rPr>
      <w:rFonts w:ascii="Times New Roman" w:hAnsi="Times New Roman" w:eastAsia="Times New Roman" w:cs="Times New Roman"/>
      <w:b/>
      <w:bCs/>
      <w:i w:val="false"/>
      <w:iCs w:val="false"/>
      <w:smallCaps/>
      <w:strike w:val="false"/>
      <w:dstrike w:val="false"/>
      <w:color w:val="000000"/>
      <w:spacing w:val="0"/>
      <w:w w:val="100"/>
      <w:sz w:val="18"/>
      <w:szCs w:val="18"/>
      <w:u w:val="none"/>
      <w:lang w:val="ru-RU" w:eastAsia="ru-RU" w:bidi="ru-RU"/>
    </w:rPr>
  </w:style>
  <w:style w:type="character" w:styleId="251" w:customStyle="1">
    <w:name w:val="Основной текст (25)_"/>
    <w:basedOn w:val="DefaultParagraphFont"/>
    <w:link w:val="251"/>
    <w:qFormat/>
    <w:rPr>
      <w:rFonts w:ascii="Times New Roman" w:hAnsi="Times New Roman" w:eastAsia="Times New Roman" w:cs="Times New Roman"/>
      <w:b/>
      <w:bCs/>
      <w:i w:val="false"/>
      <w:iCs w:val="false"/>
      <w:caps w:val="false"/>
      <w:smallCaps w:val="false"/>
      <w:strike w:val="false"/>
      <w:dstrike w:val="false"/>
      <w:sz w:val="18"/>
      <w:szCs w:val="18"/>
      <w:u w:val="none"/>
    </w:rPr>
  </w:style>
  <w:style w:type="character" w:styleId="231" w:customStyle="1">
    <w:name w:val="Заголовок №2 (3)_"/>
    <w:basedOn w:val="DefaultParagraphFont"/>
    <w:link w:val="232"/>
    <w:qFormat/>
    <w:rPr>
      <w:rFonts w:ascii="Gulim" w:hAnsi="Gulim" w:eastAsia="Gulim" w:cs="Gulim"/>
      <w:b w:val="false"/>
      <w:bCs w:val="false"/>
      <w:i w:val="false"/>
      <w:iCs w:val="false"/>
      <w:caps w:val="false"/>
      <w:smallCaps w:val="false"/>
      <w:strike w:val="false"/>
      <w:dstrike w:val="false"/>
      <w:spacing w:val="-30"/>
      <w:sz w:val="22"/>
      <w:szCs w:val="22"/>
      <w:u w:val="none"/>
      <w:lang w:val="en-US" w:eastAsia="en-US" w:bidi="en-US"/>
    </w:rPr>
  </w:style>
  <w:style w:type="character" w:styleId="52" w:customStyle="1">
    <w:name w:val="Подпись к таблице (5)_"/>
    <w:basedOn w:val="DefaultParagraphFont"/>
    <w:link w:val="54"/>
    <w:qFormat/>
    <w:rPr>
      <w:rFonts w:ascii="Times New Roman" w:hAnsi="Times New Roman" w:eastAsia="Times New Roman" w:cs="Times New Roman"/>
      <w:b/>
      <w:bCs/>
      <w:i w:val="false"/>
      <w:iCs w:val="false"/>
      <w:caps w:val="false"/>
      <w:smallCaps w:val="false"/>
      <w:strike w:val="false"/>
      <w:dstrike w:val="false"/>
      <w:sz w:val="18"/>
      <w:szCs w:val="18"/>
      <w:u w:val="none"/>
    </w:rPr>
  </w:style>
  <w:style w:type="character" w:styleId="27Exact" w:customStyle="1">
    <w:name w:val="Основной текст (27) Exact"/>
    <w:basedOn w:val="DefaultParagraphFont"/>
    <w:link w:val="270"/>
    <w:qFormat/>
    <w:rPr>
      <w:rFonts w:ascii="Times New Roman" w:hAnsi="Times New Roman" w:eastAsia="Times New Roman" w:cs="Times New Roman"/>
      <w:b/>
      <w:bCs/>
      <w:i/>
      <w:iCs/>
      <w:caps w:val="false"/>
      <w:smallCaps w:val="false"/>
      <w:strike w:val="false"/>
      <w:dstrike w:val="false"/>
      <w:sz w:val="26"/>
      <w:szCs w:val="26"/>
      <w:u w:val="none"/>
    </w:rPr>
  </w:style>
  <w:style w:type="character" w:styleId="213pt1" w:customStyle="1">
    <w:name w:val="Заголовок №2 + 13 pt;Курсив"/>
    <w:basedOn w:val="21"/>
    <w:qFormat/>
    <w:rPr>
      <w:rFonts w:ascii="Times New Roman" w:hAnsi="Times New Roman" w:eastAsia="Times New Roman" w:cs="Times New Roman"/>
      <w:b/>
      <w:bCs/>
      <w:i/>
      <w:iCs/>
      <w:caps w:val="false"/>
      <w:smallCaps w:val="false"/>
      <w:strike w:val="false"/>
      <w:dstrike w:val="false"/>
      <w:color w:val="000000"/>
      <w:spacing w:val="0"/>
      <w:w w:val="100"/>
      <w:sz w:val="26"/>
      <w:szCs w:val="26"/>
      <w:u w:val="none"/>
      <w:lang w:val="ru-RU" w:eastAsia="ru-RU" w:bidi="ru-RU"/>
    </w:rPr>
  </w:style>
  <w:style w:type="character" w:styleId="2Sylfaen9pt" w:customStyle="1">
    <w:name w:val="Основной текст (2) + Sylfaen;9 pt;Полужирный"/>
    <w:basedOn w:val="22"/>
    <w:qFormat/>
    <w:rPr>
      <w:rFonts w:ascii="Sylfaen" w:hAnsi="Sylfaen" w:eastAsia="Sylfaen" w:cs="Sylfaen"/>
      <w:b/>
      <w:bCs/>
      <w:i w:val="false"/>
      <w:iCs w:val="false"/>
      <w:caps w:val="false"/>
      <w:smallCaps w:val="false"/>
      <w:strike w:val="false"/>
      <w:dstrike w:val="false"/>
      <w:color w:val="000000"/>
      <w:spacing w:val="0"/>
      <w:w w:val="100"/>
      <w:sz w:val="18"/>
      <w:szCs w:val="18"/>
      <w:u w:val="none"/>
      <w:lang w:val="ru-RU" w:eastAsia="ru-RU" w:bidi="ru-RU"/>
    </w:rPr>
  </w:style>
  <w:style w:type="character" w:styleId="3Exact" w:customStyle="1">
    <w:name w:val="Основной текст (3) Exact"/>
    <w:basedOn w:val="DefaultParagraphFont"/>
    <w:qFormat/>
    <w:rPr>
      <w:rFonts w:ascii="Times New Roman" w:hAnsi="Times New Roman" w:eastAsia="Times New Roman" w:cs="Times New Roman"/>
      <w:b/>
      <w:bCs/>
      <w:i w:val="false"/>
      <w:iCs w:val="false"/>
      <w:caps w:val="false"/>
      <w:smallCaps w:val="false"/>
      <w:strike w:val="false"/>
      <w:dstrike w:val="false"/>
      <w:sz w:val="32"/>
      <w:szCs w:val="32"/>
      <w:u w:val="none"/>
    </w:rPr>
  </w:style>
  <w:style w:type="character" w:styleId="30ptExact" w:customStyle="1">
    <w:name w:val="Основной текст (3) + Интервал 0 pt Exact"/>
    <w:basedOn w:val="31"/>
    <w:qFormat/>
    <w:rPr>
      <w:rFonts w:ascii="Times New Roman" w:hAnsi="Times New Roman" w:eastAsia="Times New Roman" w:cs="Times New Roman"/>
      <w:b/>
      <w:bCs/>
      <w:i w:val="false"/>
      <w:iCs w:val="false"/>
      <w:caps w:val="false"/>
      <w:smallCaps w:val="false"/>
      <w:strike w:val="false"/>
      <w:dstrike w:val="false"/>
      <w:color w:val="000000"/>
      <w:spacing w:val="-10"/>
      <w:w w:val="100"/>
      <w:sz w:val="32"/>
      <w:szCs w:val="32"/>
      <w:u w:val="none"/>
      <w:lang w:val="ru-RU" w:eastAsia="ru-RU" w:bidi="ru-RU"/>
    </w:rPr>
  </w:style>
  <w:style w:type="character" w:styleId="28Exact" w:customStyle="1">
    <w:name w:val="Основной текст (28) Exact"/>
    <w:basedOn w:val="DefaultParagraphFont"/>
    <w:link w:val="280"/>
    <w:qFormat/>
    <w:rPr>
      <w:rFonts w:ascii="Gulim" w:hAnsi="Gulim" w:eastAsia="Gulim" w:cs="Gulim"/>
      <w:b w:val="false"/>
      <w:bCs w:val="false"/>
      <w:i w:val="false"/>
      <w:iCs w:val="false"/>
      <w:caps w:val="false"/>
      <w:smallCaps w:val="false"/>
      <w:strike w:val="false"/>
      <w:dstrike w:val="false"/>
      <w:spacing w:val="-30"/>
      <w:sz w:val="22"/>
      <w:szCs w:val="22"/>
      <w:u w:val="none"/>
    </w:rPr>
  </w:style>
  <w:style w:type="character" w:styleId="29Exact" w:customStyle="1">
    <w:name w:val="Основной текст (29) Exact"/>
    <w:basedOn w:val="DefaultParagraphFont"/>
    <w:link w:val="290"/>
    <w:qFormat/>
    <w:rPr>
      <w:rFonts w:ascii="Times New Roman" w:hAnsi="Times New Roman" w:eastAsia="Times New Roman" w:cs="Times New Roman"/>
      <w:b/>
      <w:bCs/>
      <w:i w:val="false"/>
      <w:iCs w:val="false"/>
      <w:caps w:val="false"/>
      <w:smallCaps w:val="false"/>
      <w:strike w:val="false"/>
      <w:dstrike w:val="false"/>
      <w:sz w:val="26"/>
      <w:szCs w:val="26"/>
      <w:u w:val="none"/>
    </w:rPr>
  </w:style>
  <w:style w:type="character" w:styleId="13pt" w:customStyle="1">
    <w:name w:val="Колонтитул + 13 pt;Полужирный;Не курсив"/>
    <w:basedOn w:val="Style6"/>
    <w:qFormat/>
    <w:rPr>
      <w:rFonts w:ascii="Times New Roman" w:hAnsi="Times New Roman" w:eastAsia="Times New Roman" w:cs="Times New Roman"/>
      <w:b/>
      <w:bCs/>
      <w:i/>
      <w:iCs/>
      <w:caps w:val="false"/>
      <w:smallCaps w:val="false"/>
      <w:strike w:val="false"/>
      <w:dstrike w:val="false"/>
      <w:color w:val="000000"/>
      <w:spacing w:val="0"/>
      <w:w w:val="100"/>
      <w:sz w:val="26"/>
      <w:szCs w:val="26"/>
      <w:u w:val="none"/>
      <w:lang w:val="ru-RU" w:eastAsia="ru-RU" w:bidi="ru-RU"/>
    </w:rPr>
  </w:style>
  <w:style w:type="character" w:styleId="252" w:customStyle="1">
    <w:name w:val="Основной текст (25)"/>
    <w:basedOn w:val="251"/>
    <w:qFormat/>
    <w:rPr>
      <w:rFonts w:ascii="Times New Roman" w:hAnsi="Times New Roman" w:eastAsia="Times New Roman" w:cs="Times New Roman"/>
      <w:b/>
      <w:bCs/>
      <w:i w:val="false"/>
      <w:iCs w:val="false"/>
      <w:caps w:val="false"/>
      <w:smallCaps w:val="false"/>
      <w:strike w:val="false"/>
      <w:dstrike w:val="false"/>
      <w:color w:val="000000"/>
      <w:spacing w:val="0"/>
      <w:w w:val="100"/>
      <w:sz w:val="18"/>
      <w:szCs w:val="18"/>
      <w:u w:val="single"/>
      <w:lang w:val="ru-RU" w:eastAsia="ru-RU" w:bidi="ru-RU"/>
    </w:rPr>
  </w:style>
  <w:style w:type="character" w:styleId="213pt0pt" w:customStyle="1">
    <w:name w:val="Основной текст (2) + 13 pt;Интервал 0 pt"/>
    <w:basedOn w:val="22"/>
    <w:qFormat/>
    <w:rPr>
      <w:rFonts w:ascii="Times New Roman" w:hAnsi="Times New Roman" w:eastAsia="Times New Roman" w:cs="Times New Roman"/>
      <w:b w:val="false"/>
      <w:bCs w:val="false"/>
      <w:i w:val="false"/>
      <w:iCs w:val="false"/>
      <w:caps w:val="false"/>
      <w:smallCaps w:val="false"/>
      <w:strike w:val="false"/>
      <w:dstrike w:val="false"/>
      <w:color w:val="000000"/>
      <w:spacing w:val="-10"/>
      <w:w w:val="100"/>
      <w:sz w:val="26"/>
      <w:szCs w:val="26"/>
      <w:u w:val="none"/>
      <w:lang w:val="ru-RU" w:eastAsia="ru-RU" w:bidi="ru-RU"/>
    </w:rPr>
  </w:style>
  <w:style w:type="character" w:styleId="2Exact2" w:customStyle="1">
    <w:name w:val="Подпись к таблице (2) Exact"/>
    <w:basedOn w:val="24"/>
    <w:qFormat/>
    <w:rPr>
      <w:rFonts w:ascii="Times New Roman" w:hAnsi="Times New Roman" w:eastAsia="Times New Roman" w:cs="Times New Roman"/>
      <w:b/>
      <w:bCs/>
      <w:i w:val="false"/>
      <w:iCs w:val="false"/>
      <w:caps w:val="false"/>
      <w:smallCaps w:val="false"/>
      <w:strike w:val="false"/>
      <w:dstrike w:val="false"/>
      <w:color w:val="000000"/>
      <w:spacing w:val="0"/>
      <w:w w:val="100"/>
      <w:sz w:val="18"/>
      <w:szCs w:val="18"/>
      <w:u w:val="single"/>
      <w:lang w:val="ru-RU" w:eastAsia="ru-RU" w:bidi="ru-RU"/>
    </w:rPr>
  </w:style>
  <w:style w:type="character" w:styleId="25Exact" w:customStyle="1">
    <w:name w:val="Основной текст (25) Exact"/>
    <w:basedOn w:val="DefaultParagraphFont"/>
    <w:qFormat/>
    <w:rPr>
      <w:rFonts w:ascii="Times New Roman" w:hAnsi="Times New Roman" w:eastAsia="Times New Roman" w:cs="Times New Roman"/>
      <w:b/>
      <w:bCs/>
      <w:i w:val="false"/>
      <w:iCs w:val="false"/>
      <w:caps w:val="false"/>
      <w:smallCaps w:val="false"/>
      <w:strike w:val="false"/>
      <w:dstrike w:val="false"/>
      <w:sz w:val="18"/>
      <w:szCs w:val="18"/>
      <w:u w:val="none"/>
    </w:rPr>
  </w:style>
  <w:style w:type="character" w:styleId="295pt2" w:customStyle="1">
    <w:name w:val="Основной текст (2) + 9;5 pt;Полужирный"/>
    <w:basedOn w:val="22"/>
    <w:qFormat/>
    <w:rPr>
      <w:rFonts w:ascii="Times New Roman" w:hAnsi="Times New Roman" w:eastAsia="Times New Roman" w:cs="Times New Roman"/>
      <w:b/>
      <w:bCs/>
      <w:i w:val="false"/>
      <w:iCs w:val="false"/>
      <w:caps w:val="false"/>
      <w:smallCaps w:val="false"/>
      <w:strike w:val="false"/>
      <w:dstrike w:val="false"/>
      <w:color w:val="000000"/>
      <w:spacing w:val="0"/>
      <w:w w:val="100"/>
      <w:sz w:val="19"/>
      <w:szCs w:val="19"/>
      <w:u w:val="none"/>
      <w:lang w:val="ru-RU" w:eastAsia="ru-RU" w:bidi="ru-RU"/>
    </w:rPr>
  </w:style>
  <w:style w:type="character" w:styleId="215pt1pt" w:customStyle="1">
    <w:name w:val="Основной текст (2) + 15 pt;Курсив;Интервал -1 pt"/>
    <w:basedOn w:val="22"/>
    <w:qFormat/>
    <w:rPr>
      <w:rFonts w:ascii="Times New Roman" w:hAnsi="Times New Roman" w:eastAsia="Times New Roman" w:cs="Times New Roman"/>
      <w:b w:val="false"/>
      <w:bCs w:val="false"/>
      <w:i/>
      <w:iCs/>
      <w:caps w:val="false"/>
      <w:smallCaps w:val="false"/>
      <w:strike w:val="false"/>
      <w:dstrike w:val="false"/>
      <w:color w:val="000000"/>
      <w:spacing w:val="-20"/>
      <w:w w:val="100"/>
      <w:sz w:val="30"/>
      <w:szCs w:val="30"/>
      <w:u w:val="none"/>
      <w:lang w:val="ru-RU" w:eastAsia="ru-RU" w:bidi="ru-RU"/>
    </w:rPr>
  </w:style>
  <w:style w:type="character" w:styleId="53" w:customStyle="1">
    <w:name w:val="Подпись к таблице (5)"/>
    <w:basedOn w:val="52"/>
    <w:qFormat/>
    <w:rPr>
      <w:rFonts w:ascii="Times New Roman" w:hAnsi="Times New Roman" w:eastAsia="Times New Roman" w:cs="Times New Roman"/>
      <w:b/>
      <w:bCs/>
      <w:i w:val="false"/>
      <w:iCs w:val="false"/>
      <w:caps w:val="false"/>
      <w:smallCaps w:val="false"/>
      <w:strike w:val="false"/>
      <w:dstrike w:val="false"/>
      <w:color w:val="000000"/>
      <w:spacing w:val="0"/>
      <w:w w:val="100"/>
      <w:sz w:val="18"/>
      <w:szCs w:val="18"/>
      <w:u w:val="single"/>
      <w:lang w:val="ru-RU" w:eastAsia="ru-RU" w:bidi="ru-RU"/>
    </w:rPr>
  </w:style>
  <w:style w:type="character" w:styleId="3211pt" w:customStyle="1">
    <w:name w:val="Заголовок №3 (2) + 11 pt;Не полужирный"/>
    <w:basedOn w:val="321"/>
    <w:qFormat/>
    <w:rPr>
      <w:rFonts w:ascii="Times New Roman" w:hAnsi="Times New Roman" w:eastAsia="Times New Roman" w:cs="Times New Roman"/>
      <w:b/>
      <w:bCs/>
      <w:i w:val="false"/>
      <w:iCs w:val="false"/>
      <w:caps w:val="false"/>
      <w:smallCaps w:val="false"/>
      <w:strike w:val="false"/>
      <w:dstrike w:val="false"/>
      <w:color w:val="000000"/>
      <w:spacing w:val="0"/>
      <w:w w:val="100"/>
      <w:sz w:val="22"/>
      <w:szCs w:val="22"/>
      <w:u w:val="none"/>
      <w:lang w:val="en-US" w:eastAsia="en-US" w:bidi="en-US"/>
    </w:rPr>
  </w:style>
  <w:style w:type="character" w:styleId="39pt" w:customStyle="1">
    <w:name w:val="Заголовок №3 + 9 pt"/>
    <w:basedOn w:val="33"/>
    <w:qFormat/>
    <w:rPr>
      <w:rFonts w:ascii="Times New Roman" w:hAnsi="Times New Roman" w:eastAsia="Times New Roman" w:cs="Times New Roman"/>
      <w:b/>
      <w:bCs/>
      <w:i w:val="false"/>
      <w:iCs w:val="false"/>
      <w:caps w:val="false"/>
      <w:smallCaps w:val="false"/>
      <w:strike w:val="false"/>
      <w:dstrike w:val="false"/>
      <w:color w:val="000000"/>
      <w:spacing w:val="0"/>
      <w:w w:val="100"/>
      <w:sz w:val="18"/>
      <w:szCs w:val="18"/>
      <w:u w:val="none"/>
      <w:lang w:val="en-US" w:eastAsia="en-US" w:bidi="en-US"/>
    </w:rPr>
  </w:style>
  <w:style w:type="character" w:styleId="30Exact" w:customStyle="1">
    <w:name w:val="Основной текст (30) Exact"/>
    <w:basedOn w:val="DefaultParagraphFont"/>
    <w:link w:val="300"/>
    <w:qFormat/>
    <w:rPr>
      <w:b w:val="false"/>
      <w:bCs w:val="false"/>
      <w:i w:val="false"/>
      <w:iCs w:val="false"/>
      <w:caps w:val="false"/>
      <w:smallCaps w:val="false"/>
      <w:strike w:val="false"/>
      <w:dstrike w:val="false"/>
      <w:sz w:val="15"/>
      <w:szCs w:val="15"/>
      <w:u w:val="none"/>
    </w:rPr>
  </w:style>
  <w:style w:type="character" w:styleId="31Exact" w:customStyle="1">
    <w:name w:val="Основной текст (31) Exact"/>
    <w:basedOn w:val="DefaultParagraphFont"/>
    <w:link w:val="310"/>
    <w:qFormat/>
    <w:rPr>
      <w:b w:val="false"/>
      <w:bCs w:val="false"/>
      <w:i w:val="false"/>
      <w:iCs w:val="false"/>
      <w:caps w:val="false"/>
      <w:smallCaps w:val="false"/>
      <w:strike w:val="false"/>
      <w:dstrike w:val="false"/>
      <w:sz w:val="14"/>
      <w:szCs w:val="14"/>
      <w:u w:val="none"/>
    </w:rPr>
  </w:style>
  <w:style w:type="character" w:styleId="31TimesNewRoman85pt0ptExact" w:customStyle="1">
    <w:name w:val="Основной текст (31) + Times New Roman;8;5 pt;Курсив;Интервал 0 pt Exact"/>
    <w:basedOn w:val="31Exact"/>
    <w:qFormat/>
    <w:rPr>
      <w:rFonts w:ascii="Times New Roman" w:hAnsi="Times New Roman" w:eastAsia="Times New Roman" w:cs="Times New Roman"/>
      <w:b w:val="false"/>
      <w:bCs w:val="false"/>
      <w:i/>
      <w:iCs/>
      <w:caps w:val="false"/>
      <w:smallCaps w:val="false"/>
      <w:strike w:val="false"/>
      <w:dstrike w:val="false"/>
      <w:color w:val="000000"/>
      <w:spacing w:val="-10"/>
      <w:w w:val="100"/>
      <w:sz w:val="17"/>
      <w:szCs w:val="17"/>
      <w:u w:val="none"/>
      <w:lang w:val="ru-RU" w:eastAsia="ru-RU" w:bidi="ru-RU"/>
    </w:rPr>
  </w:style>
  <w:style w:type="character" w:styleId="12Exact" w:customStyle="1">
    <w:name w:val="Основной текст (12) Exact"/>
    <w:basedOn w:val="DefaultParagraphFont"/>
    <w:qFormat/>
    <w:rPr>
      <w:rFonts w:ascii="Times New Roman" w:hAnsi="Times New Roman" w:eastAsia="Times New Roman" w:cs="Times New Roman"/>
      <w:b w:val="false"/>
      <w:bCs w:val="false"/>
      <w:i w:val="false"/>
      <w:iCs w:val="false"/>
      <w:caps w:val="false"/>
      <w:smallCaps w:val="false"/>
      <w:strike w:val="false"/>
      <w:dstrike w:val="false"/>
      <w:sz w:val="12"/>
      <w:szCs w:val="12"/>
      <w:u w:val="none"/>
    </w:rPr>
  </w:style>
  <w:style w:type="character" w:styleId="12Exact1" w:customStyle="1">
    <w:name w:val="Основной текст (12) + Полужирный Exact"/>
    <w:basedOn w:val="12"/>
    <w:qFormat/>
    <w:rPr>
      <w:rFonts w:ascii="Times New Roman" w:hAnsi="Times New Roman" w:eastAsia="Times New Roman" w:cs="Times New Roman"/>
      <w:b/>
      <w:bCs/>
      <w:i w:val="false"/>
      <w:iCs w:val="false"/>
      <w:caps w:val="false"/>
      <w:smallCaps w:val="false"/>
      <w:strike w:val="false"/>
      <w:dstrike w:val="false"/>
      <w:color w:val="000000"/>
      <w:spacing w:val="0"/>
      <w:w w:val="100"/>
      <w:sz w:val="12"/>
      <w:szCs w:val="12"/>
      <w:u w:val="none"/>
      <w:lang w:val="ru-RU" w:eastAsia="ru-RU" w:bidi="ru-RU"/>
    </w:rPr>
  </w:style>
  <w:style w:type="character" w:styleId="19" w:customStyle="1">
    <w:name w:val="Заголовок №1_"/>
    <w:basedOn w:val="DefaultParagraphFont"/>
    <w:link w:val="1b"/>
    <w:qFormat/>
    <w:rPr>
      <w:rFonts w:ascii="Times New Roman" w:hAnsi="Times New Roman" w:eastAsia="Times New Roman" w:cs="Times New Roman"/>
      <w:b/>
      <w:bCs/>
      <w:i w:val="false"/>
      <w:iCs w:val="false"/>
      <w:caps w:val="false"/>
      <w:smallCaps w:val="false"/>
      <w:strike w:val="false"/>
      <w:dstrike w:val="false"/>
      <w:spacing w:val="0"/>
      <w:sz w:val="52"/>
      <w:szCs w:val="52"/>
      <w:u w:val="none"/>
    </w:rPr>
  </w:style>
  <w:style w:type="character" w:styleId="110" w:customStyle="1">
    <w:name w:val="Заголовок №1 + Малые прописные"/>
    <w:basedOn w:val="19"/>
    <w:qFormat/>
    <w:rPr>
      <w:rFonts w:ascii="Times New Roman" w:hAnsi="Times New Roman" w:eastAsia="Times New Roman" w:cs="Times New Roman"/>
      <w:b/>
      <w:bCs/>
      <w:i w:val="false"/>
      <w:iCs w:val="false"/>
      <w:smallCaps/>
      <w:strike w:val="false"/>
      <w:dstrike w:val="false"/>
      <w:color w:val="000000"/>
      <w:spacing w:val="0"/>
      <w:w w:val="100"/>
      <w:sz w:val="52"/>
      <w:szCs w:val="52"/>
      <w:u w:val="none"/>
      <w:lang w:val="ru-RU" w:eastAsia="ru-RU" w:bidi="ru-RU"/>
    </w:rPr>
  </w:style>
  <w:style w:type="character" w:styleId="323" w:customStyle="1">
    <w:name w:val="Основной текст (32)_"/>
    <w:basedOn w:val="DefaultParagraphFont"/>
    <w:link w:val="324"/>
    <w:qFormat/>
    <w:rPr>
      <w:rFonts w:ascii="Times New Roman" w:hAnsi="Times New Roman" w:eastAsia="Times New Roman" w:cs="Times New Roman"/>
      <w:b/>
      <w:bCs/>
      <w:i/>
      <w:iCs/>
      <w:caps w:val="false"/>
      <w:smallCaps w:val="false"/>
      <w:strike w:val="false"/>
      <w:dstrike w:val="false"/>
      <w:sz w:val="17"/>
      <w:szCs w:val="17"/>
      <w:u w:val="none"/>
    </w:rPr>
  </w:style>
  <w:style w:type="character" w:styleId="2ArialUnicodeMS10pt" w:customStyle="1">
    <w:name w:val="Основной текст (2) + Arial Unicode MS;10 pt"/>
    <w:basedOn w:val="22"/>
    <w:qFormat/>
    <w:rPr>
      <w:rFonts w:ascii="Arial Unicode MS" w:hAnsi="Arial Unicode MS" w:eastAsia="Arial Unicode MS" w:cs="Arial Unicode MS"/>
      <w:b w:val="false"/>
      <w:bCs w:val="false"/>
      <w:i w:val="false"/>
      <w:iCs w:val="false"/>
      <w:caps w:val="false"/>
      <w:smallCaps w:val="false"/>
      <w:strike w:val="false"/>
      <w:dstrike w:val="false"/>
      <w:color w:val="000000"/>
      <w:spacing w:val="0"/>
      <w:w w:val="100"/>
      <w:sz w:val="20"/>
      <w:szCs w:val="20"/>
      <w:u w:val="none"/>
      <w:lang w:val="ru-RU" w:eastAsia="ru-RU" w:bidi="ru-RU"/>
    </w:rPr>
  </w:style>
  <w:style w:type="character" w:styleId="Style9" w:customStyle="1">
    <w:name w:val="Нижний колонтитул Знак"/>
    <w:basedOn w:val="DefaultParagraphFont"/>
    <w:link w:val="aa"/>
    <w:uiPriority w:val="99"/>
    <w:qFormat/>
    <w:rsid w:val="00b17c5d"/>
    <w:rPr>
      <w:color w:val="000000"/>
    </w:rPr>
  </w:style>
  <w:style w:type="character" w:styleId="Style10" w:customStyle="1">
    <w:name w:val="Верхний колонтитул Знак"/>
    <w:basedOn w:val="DefaultParagraphFont"/>
    <w:link w:val="ac"/>
    <w:uiPriority w:val="99"/>
    <w:qFormat/>
    <w:rsid w:val="00b17c5d"/>
    <w:rPr>
      <w:color w:val="000000"/>
    </w:rPr>
  </w:style>
  <w:style w:type="character" w:styleId="Style11" w:customStyle="1">
    <w:name w:val="Текст выноски Знак"/>
    <w:basedOn w:val="DefaultParagraphFont"/>
    <w:link w:val="ae"/>
    <w:uiPriority w:val="99"/>
    <w:semiHidden/>
    <w:qFormat/>
    <w:rsid w:val="00b17c5d"/>
    <w:rPr>
      <w:rFonts w:ascii="Tahoma" w:hAnsi="Tahoma" w:cs="Tahoma"/>
      <w:color w:val="000000"/>
      <w:sz w:val="16"/>
      <w:szCs w:val="16"/>
    </w:rPr>
  </w:style>
  <w:style w:type="character" w:styleId="111" w:customStyle="1">
    <w:name w:val="Заголовок 1 Знак"/>
    <w:basedOn w:val="DefaultParagraphFont"/>
    <w:link w:val="1"/>
    <w:uiPriority w:val="9"/>
    <w:qFormat/>
    <w:rsid w:val="00ac4754"/>
    <w:rPr>
      <w:rFonts w:ascii="Calibri Light" w:hAnsi="Calibri Light" w:eastAsia="" w:cs="" w:asciiTheme="majorHAnsi" w:cstheme="majorBidi" w:eastAsiaTheme="majorEastAsia" w:hAnsiTheme="majorHAnsi"/>
      <w:b/>
      <w:bCs/>
      <w:kern w:val="2"/>
      <w:sz w:val="32"/>
      <w:szCs w:val="32"/>
    </w:rPr>
  </w:style>
  <w:style w:type="character" w:styleId="27" w:customStyle="1">
    <w:name w:val="Заголовок 2 Знак"/>
    <w:basedOn w:val="DefaultParagraphFont"/>
    <w:link w:val="2"/>
    <w:uiPriority w:val="9"/>
    <w:semiHidden/>
    <w:qFormat/>
    <w:rsid w:val="00ac4754"/>
    <w:rPr>
      <w:rFonts w:ascii="Calibri Light" w:hAnsi="Calibri Light" w:eastAsia="" w:cs="" w:asciiTheme="majorHAnsi" w:cstheme="majorBidi" w:eastAsiaTheme="majorEastAsia" w:hAnsiTheme="majorHAnsi"/>
      <w:b/>
      <w:bCs/>
      <w:i/>
      <w:iCs/>
      <w:sz w:val="28"/>
      <w:szCs w:val="28"/>
    </w:rPr>
  </w:style>
  <w:style w:type="character" w:styleId="36" w:customStyle="1">
    <w:name w:val="Заголовок 3 Знак"/>
    <w:basedOn w:val="DefaultParagraphFont"/>
    <w:link w:val="3"/>
    <w:uiPriority w:val="9"/>
    <w:semiHidden/>
    <w:qFormat/>
    <w:rsid w:val="00ac4754"/>
    <w:rPr>
      <w:rFonts w:ascii="Calibri Light" w:hAnsi="Calibri Light" w:eastAsia="" w:asciiTheme="majorHAnsi" w:eastAsiaTheme="majorEastAsia" w:hAnsiTheme="majorHAnsi"/>
      <w:b/>
      <w:bCs/>
      <w:sz w:val="26"/>
      <w:szCs w:val="26"/>
    </w:rPr>
  </w:style>
  <w:style w:type="character" w:styleId="43" w:customStyle="1">
    <w:name w:val="Заголовок 4 Знак"/>
    <w:basedOn w:val="DefaultParagraphFont"/>
    <w:link w:val="4"/>
    <w:uiPriority w:val="9"/>
    <w:semiHidden/>
    <w:qFormat/>
    <w:rsid w:val="00ac4754"/>
    <w:rPr>
      <w:b/>
      <w:bCs/>
      <w:sz w:val="28"/>
      <w:szCs w:val="28"/>
    </w:rPr>
  </w:style>
  <w:style w:type="character" w:styleId="54" w:customStyle="1">
    <w:name w:val="Заголовок 5 Знак"/>
    <w:basedOn w:val="DefaultParagraphFont"/>
    <w:link w:val="5"/>
    <w:uiPriority w:val="9"/>
    <w:semiHidden/>
    <w:qFormat/>
    <w:rsid w:val="00ac4754"/>
    <w:rPr>
      <w:b/>
      <w:bCs/>
      <w:i/>
      <w:iCs/>
      <w:sz w:val="26"/>
      <w:szCs w:val="26"/>
    </w:rPr>
  </w:style>
  <w:style w:type="character" w:styleId="62" w:customStyle="1">
    <w:name w:val="Заголовок 6 Знак"/>
    <w:basedOn w:val="DefaultParagraphFont"/>
    <w:link w:val="6"/>
    <w:uiPriority w:val="9"/>
    <w:semiHidden/>
    <w:qFormat/>
    <w:rsid w:val="00ac4754"/>
    <w:rPr>
      <w:b/>
      <w:bCs/>
    </w:rPr>
  </w:style>
  <w:style w:type="character" w:styleId="72" w:customStyle="1">
    <w:name w:val="Заголовок 7 Знак"/>
    <w:basedOn w:val="DefaultParagraphFont"/>
    <w:link w:val="7"/>
    <w:uiPriority w:val="9"/>
    <w:semiHidden/>
    <w:qFormat/>
    <w:rsid w:val="00ac4754"/>
    <w:rPr>
      <w:sz w:val="24"/>
      <w:szCs w:val="24"/>
    </w:rPr>
  </w:style>
  <w:style w:type="character" w:styleId="82" w:customStyle="1">
    <w:name w:val="Заголовок 8 Знак"/>
    <w:basedOn w:val="DefaultParagraphFont"/>
    <w:link w:val="8"/>
    <w:uiPriority w:val="9"/>
    <w:semiHidden/>
    <w:qFormat/>
    <w:rsid w:val="00ac4754"/>
    <w:rPr>
      <w:i/>
      <w:iCs/>
      <w:sz w:val="24"/>
      <w:szCs w:val="24"/>
    </w:rPr>
  </w:style>
  <w:style w:type="character" w:styleId="92" w:customStyle="1">
    <w:name w:val="Заголовок 9 Знак"/>
    <w:basedOn w:val="DefaultParagraphFont"/>
    <w:link w:val="9"/>
    <w:uiPriority w:val="9"/>
    <w:semiHidden/>
    <w:qFormat/>
    <w:rsid w:val="00ac4754"/>
    <w:rPr>
      <w:rFonts w:ascii="Calibri Light" w:hAnsi="Calibri Light" w:eastAsia="" w:asciiTheme="majorHAnsi" w:eastAsiaTheme="majorEastAsia" w:hAnsiTheme="majorHAnsi"/>
    </w:rPr>
  </w:style>
  <w:style w:type="character" w:styleId="Style12" w:customStyle="1">
    <w:name w:val="Заголовок Знак"/>
    <w:basedOn w:val="DefaultParagraphFont"/>
    <w:link w:val="af3"/>
    <w:uiPriority w:val="10"/>
    <w:qFormat/>
    <w:rsid w:val="00ac4754"/>
    <w:rPr>
      <w:rFonts w:ascii="Calibri Light" w:hAnsi="Calibri Light" w:eastAsia="" w:asciiTheme="majorHAnsi" w:eastAsiaTheme="majorEastAsia" w:hAnsiTheme="majorHAnsi"/>
      <w:b/>
      <w:bCs/>
      <w:kern w:val="2"/>
      <w:sz w:val="32"/>
      <w:szCs w:val="32"/>
    </w:rPr>
  </w:style>
  <w:style w:type="character" w:styleId="Style13" w:customStyle="1">
    <w:name w:val="Подзаголовок Знак"/>
    <w:basedOn w:val="DefaultParagraphFont"/>
    <w:link w:val="af5"/>
    <w:uiPriority w:val="11"/>
    <w:qFormat/>
    <w:rsid w:val="00ac4754"/>
    <w:rPr>
      <w:rFonts w:ascii="Calibri Light" w:hAnsi="Calibri Light" w:eastAsia="" w:asciiTheme="majorHAnsi" w:eastAsiaTheme="majorEastAsia" w:hAnsiTheme="majorHAnsi"/>
      <w:sz w:val="24"/>
      <w:szCs w:val="24"/>
    </w:rPr>
  </w:style>
  <w:style w:type="character" w:styleId="Strong">
    <w:name w:val="Strong"/>
    <w:basedOn w:val="DefaultParagraphFont"/>
    <w:uiPriority w:val="22"/>
    <w:qFormat/>
    <w:rsid w:val="00ac4754"/>
    <w:rPr>
      <w:b/>
      <w:bCs/>
    </w:rPr>
  </w:style>
  <w:style w:type="character" w:styleId="Style14">
    <w:name w:val="Выделение"/>
    <w:basedOn w:val="DefaultParagraphFont"/>
    <w:uiPriority w:val="20"/>
    <w:qFormat/>
    <w:rsid w:val="00ac4754"/>
    <w:rPr>
      <w:rFonts w:ascii="Calibri" w:hAnsi="Calibri" w:asciiTheme="minorHAnsi" w:hAnsiTheme="minorHAnsi"/>
      <w:b/>
      <w:i/>
      <w:iCs/>
    </w:rPr>
  </w:style>
  <w:style w:type="character" w:styleId="28" w:customStyle="1">
    <w:name w:val="Цитата 2 Знак"/>
    <w:basedOn w:val="DefaultParagraphFont"/>
    <w:link w:val="2c"/>
    <w:uiPriority w:val="29"/>
    <w:qFormat/>
    <w:rsid w:val="00ac4754"/>
    <w:rPr>
      <w:i/>
      <w:sz w:val="24"/>
      <w:szCs w:val="24"/>
    </w:rPr>
  </w:style>
  <w:style w:type="character" w:styleId="Style15" w:customStyle="1">
    <w:name w:val="Выделенная цитата Знак"/>
    <w:basedOn w:val="DefaultParagraphFont"/>
    <w:link w:val="afa"/>
    <w:uiPriority w:val="30"/>
    <w:qFormat/>
    <w:rsid w:val="00ac4754"/>
    <w:rPr>
      <w:b/>
      <w:i/>
      <w:sz w:val="24"/>
    </w:rPr>
  </w:style>
  <w:style w:type="character" w:styleId="SubtleEmphasis">
    <w:name w:val="Subtle Emphasis"/>
    <w:uiPriority w:val="19"/>
    <w:qFormat/>
    <w:rsid w:val="00ac4754"/>
    <w:rPr>
      <w:i/>
      <w:color w:val="5A5A5A" w:themeColor="text1" w:themeTint="a5"/>
    </w:rPr>
  </w:style>
  <w:style w:type="character" w:styleId="IntenseEmphasis">
    <w:name w:val="Intense Emphasis"/>
    <w:basedOn w:val="DefaultParagraphFont"/>
    <w:uiPriority w:val="21"/>
    <w:qFormat/>
    <w:rsid w:val="00ac4754"/>
    <w:rPr>
      <w:b/>
      <w:i/>
      <w:sz w:val="24"/>
      <w:szCs w:val="24"/>
      <w:u w:val="single"/>
    </w:rPr>
  </w:style>
  <w:style w:type="character" w:styleId="SubtleReference">
    <w:name w:val="Subtle Reference"/>
    <w:basedOn w:val="DefaultParagraphFont"/>
    <w:uiPriority w:val="31"/>
    <w:qFormat/>
    <w:rsid w:val="00ac4754"/>
    <w:rPr>
      <w:sz w:val="24"/>
      <w:szCs w:val="24"/>
      <w:u w:val="single"/>
    </w:rPr>
  </w:style>
  <w:style w:type="character" w:styleId="IntenseReference">
    <w:name w:val="Intense Reference"/>
    <w:basedOn w:val="DefaultParagraphFont"/>
    <w:uiPriority w:val="32"/>
    <w:qFormat/>
    <w:rsid w:val="00ac4754"/>
    <w:rPr>
      <w:b/>
      <w:sz w:val="24"/>
      <w:u w:val="single"/>
    </w:rPr>
  </w:style>
  <w:style w:type="character" w:styleId="BookTitle">
    <w:name w:val="Book Title"/>
    <w:basedOn w:val="DefaultParagraphFont"/>
    <w:uiPriority w:val="33"/>
    <w:qFormat/>
    <w:rsid w:val="00ac4754"/>
    <w:rPr>
      <w:rFonts w:ascii="Calibri Light" w:hAnsi="Calibri Light" w:eastAsia="" w:asciiTheme="majorHAnsi" w:eastAsiaTheme="majorEastAsia" w:hAnsiTheme="majorHAnsi"/>
      <w:b/>
      <w:i/>
      <w:sz w:val="24"/>
      <w:szCs w:val="24"/>
    </w:rPr>
  </w:style>
  <w:style w:type="character" w:styleId="Style16" w:customStyle="1">
    <w:name w:val="Текст сноски Знак"/>
    <w:basedOn w:val="DefaultParagraphFont"/>
    <w:link w:val="aff1"/>
    <w:uiPriority w:val="99"/>
    <w:semiHidden/>
    <w:qFormat/>
    <w:rsid w:val="002e39b3"/>
    <w:rPr>
      <w:sz w:val="20"/>
      <w:szCs w:val="20"/>
    </w:rPr>
  </w:style>
  <w:style w:type="character" w:styleId="Style17">
    <w:name w:val="Привязка сноски"/>
    <w:rPr>
      <w:vertAlign w:val="superscript"/>
    </w:rPr>
  </w:style>
  <w:style w:type="character" w:styleId="FootnoteCharacters">
    <w:name w:val="Footnote Characters"/>
    <w:basedOn w:val="DefaultParagraphFont"/>
    <w:uiPriority w:val="99"/>
    <w:semiHidden/>
    <w:unhideWhenUsed/>
    <w:qFormat/>
    <w:rsid w:val="002e39b3"/>
    <w:rPr>
      <w:vertAlign w:val="superscript"/>
    </w:rPr>
  </w:style>
  <w:style w:type="character" w:styleId="Annotationreference">
    <w:name w:val="annotation reference"/>
    <w:basedOn w:val="DefaultParagraphFont"/>
    <w:semiHidden/>
    <w:unhideWhenUsed/>
    <w:qFormat/>
    <w:rsid w:val="00b124c6"/>
    <w:rPr>
      <w:sz w:val="16"/>
      <w:szCs w:val="16"/>
    </w:rPr>
  </w:style>
  <w:style w:type="character" w:styleId="Style18" w:customStyle="1">
    <w:name w:val="Текст примечания Знак"/>
    <w:basedOn w:val="DefaultParagraphFont"/>
    <w:link w:val="aff5"/>
    <w:qFormat/>
    <w:rsid w:val="00b124c6"/>
    <w:rPr>
      <w:sz w:val="20"/>
      <w:szCs w:val="20"/>
    </w:rPr>
  </w:style>
  <w:style w:type="character" w:styleId="Style19" w:customStyle="1">
    <w:name w:val="Тема примечания Знак"/>
    <w:basedOn w:val="Style18"/>
    <w:link w:val="aff7"/>
    <w:uiPriority w:val="99"/>
    <w:semiHidden/>
    <w:qFormat/>
    <w:rsid w:val="00b124c6"/>
    <w:rPr>
      <w:b/>
      <w:bCs/>
      <w:sz w:val="20"/>
      <w:szCs w:val="20"/>
    </w:rPr>
  </w:style>
  <w:style w:type="character" w:styleId="Appleconvertedspace" w:customStyle="1">
    <w:name w:val="apple-converted-space"/>
    <w:basedOn w:val="DefaultParagraphFont"/>
    <w:qFormat/>
    <w:rsid w:val="00c16f8e"/>
    <w:rPr/>
  </w:style>
  <w:style w:type="character" w:styleId="44" w:customStyle="1">
    <w:name w:val="Стиль4 Знак"/>
    <w:link w:val="46"/>
    <w:qFormat/>
    <w:rsid w:val="00654e58"/>
    <w:rPr>
      <w:rFonts w:ascii="Arial" w:hAnsi="Arial" w:eastAsia="Times New Roman"/>
      <w:b/>
      <w:bCs/>
      <w:i/>
      <w:iCs/>
      <w:color w:val="000080"/>
      <w:szCs w:val="20"/>
      <w:lang w:val="en-US" w:eastAsia="en-US" w:bidi="ar-SA"/>
    </w:rPr>
  </w:style>
  <w:style w:type="character" w:styleId="Style20" w:customStyle="1">
    <w:name w:val="Основной текст Знак"/>
    <w:basedOn w:val="DefaultParagraphFont"/>
    <w:link w:val="affa"/>
    <w:uiPriority w:val="99"/>
    <w:qFormat/>
    <w:rsid w:val="00161b4a"/>
    <w:rPr>
      <w:rFonts w:ascii="Calibri" w:hAnsi="Calibri" w:eastAsia="PMingLiU"/>
      <w:sz w:val="21"/>
      <w:szCs w:val="24"/>
      <w:lang w:val="en-AU" w:eastAsia="en-US" w:bidi="ar-SA"/>
    </w:rPr>
  </w:style>
  <w:style w:type="character" w:styleId="Subst" w:customStyle="1">
    <w:name w:val="Subst"/>
    <w:qFormat/>
    <w:rsid w:val="00103830"/>
    <w:rPr>
      <w:b/>
      <w:bCs/>
      <w:i/>
      <w:iCs/>
    </w:rPr>
  </w:style>
  <w:style w:type="character" w:styleId="ABCparagrahinNotesChar1" w:customStyle="1">
    <w:name w:val="ABC - paragrah in Notes Char1"/>
    <w:link w:val="ABC-paragrahinNotes"/>
    <w:qFormat/>
    <w:locked/>
    <w:rsid w:val="000524dd"/>
    <w:rPr>
      <w:rFonts w:ascii="Times New Roman" w:hAnsi="Times New Roman" w:eastAsia="Times New Roman"/>
      <w:sz w:val="20"/>
      <w:szCs w:val="20"/>
      <w:lang w:val="en-GB" w:eastAsia="en-US" w:bidi="ar-SA"/>
    </w:rPr>
  </w:style>
  <w:style w:type="character" w:styleId="ABCparagrahinNotesChar" w:customStyle="1">
    <w:name w:val="ABC - paragrah in Notes Char"/>
    <w:qFormat/>
    <w:rsid w:val="00e81a90"/>
    <w:rPr>
      <w:lang w:val="en-GB" w:eastAsia="en-US" w:bidi="ar-SA"/>
    </w:rPr>
  </w:style>
  <w:style w:type="character" w:styleId="ListLabel1">
    <w:name w:val="ListLabel 1"/>
    <w:qFormat/>
    <w:rPr>
      <w:rFonts w:cs="Times New Roman"/>
      <w:b/>
      <w:bCs/>
      <w:i w:val="false"/>
      <w:iCs w:val="false"/>
      <w:caps w:val="false"/>
      <w:smallCaps w:val="false"/>
      <w:strike w:val="false"/>
      <w:dstrike w:val="false"/>
      <w:vanish w:val="false"/>
      <w:color w:val="auto"/>
      <w:position w:val="0"/>
      <w:sz w:val="24"/>
      <w:sz w:val="24"/>
      <w:szCs w:val="20"/>
      <w:vertAlign w:val="baseline"/>
    </w:rPr>
  </w:style>
  <w:style w:type="character" w:styleId="ListLabel2">
    <w:name w:val="ListLabel 2"/>
    <w:qFormat/>
    <w:rPr>
      <w:rFonts w:cs="Times New Roman"/>
    </w:rPr>
  </w:style>
  <w:style w:type="character" w:styleId="ListLabel3">
    <w:name w:val="ListLabel 3"/>
    <w:qFormat/>
    <w:rPr>
      <w:rFonts w:cs="Times New Roman"/>
    </w:rPr>
  </w:style>
  <w:style w:type="character" w:styleId="ListLabel4">
    <w:name w:val="ListLabel 4"/>
    <w:qFormat/>
    <w:rPr>
      <w:rFonts w:cs="Times New Roman"/>
    </w:rPr>
  </w:style>
  <w:style w:type="character" w:styleId="ListLabel5">
    <w:name w:val="ListLabel 5"/>
    <w:qFormat/>
    <w:rPr>
      <w:rFonts w:cs="Times New Roman"/>
    </w:rPr>
  </w:style>
  <w:style w:type="character" w:styleId="ListLabel6">
    <w:name w:val="ListLabel 6"/>
    <w:qFormat/>
    <w:rPr>
      <w:rFonts w:cs="Times New Roman"/>
    </w:rPr>
  </w:style>
  <w:style w:type="character" w:styleId="ListLabel7">
    <w:name w:val="ListLabel 7"/>
    <w:qFormat/>
    <w:rPr>
      <w:rFonts w:cs="Times New Roman"/>
    </w:rPr>
  </w:style>
  <w:style w:type="character" w:styleId="ListLabel8">
    <w:name w:val="ListLabel 8"/>
    <w:qFormat/>
    <w:rPr>
      <w:rFonts w:cs="Times New Roman"/>
    </w:rPr>
  </w:style>
  <w:style w:type="character" w:styleId="ListLabel9">
    <w:name w:val="ListLabel 9"/>
    <w:qFormat/>
    <w:rPr>
      <w:rFonts w:cs="Times New Roman"/>
    </w:rPr>
  </w:style>
  <w:style w:type="character" w:styleId="ListLabel10">
    <w:name w:val="ListLabel 10"/>
    <w:qFormat/>
    <w:rPr>
      <w:b/>
      <w:color w:val="808080"/>
      <w:sz w:val="20"/>
      <w:szCs w:val="22"/>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ascii="Cambria" w:hAnsi="Cambria"/>
      <w:b/>
      <w:sz w:val="20"/>
    </w:rPr>
  </w:style>
  <w:style w:type="character" w:styleId="ListLabel15">
    <w:name w:val="ListLabel 15"/>
    <w:qFormat/>
    <w:rPr>
      <w:b/>
      <w:color w:val="808080"/>
      <w:sz w:val="20"/>
      <w:szCs w:val="22"/>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b/>
      <w:color w:val="808080"/>
      <w:sz w:val="20"/>
      <w:szCs w:val="22"/>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ascii="Cambria" w:hAnsi="Cambria"/>
      <w:b/>
      <w:color w:val="808080"/>
      <w:sz w:val="20"/>
      <w:szCs w:val="22"/>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b/>
      <w:color w:val="808080"/>
      <w:sz w:val="20"/>
      <w:szCs w:val="22"/>
    </w:rPr>
  </w:style>
  <w:style w:type="character" w:styleId="ListLabel28">
    <w:name w:val="ListLabel 28"/>
    <w:qFormat/>
    <w:rPr>
      <w:b/>
      <w:color w:val="808080"/>
      <w:sz w:val="20"/>
      <w:szCs w:val="22"/>
    </w:rPr>
  </w:style>
  <w:style w:type="character" w:styleId="ListLabel29">
    <w:name w:val="ListLabel 29"/>
    <w:qFormat/>
    <w:rPr>
      <w:b/>
      <w:color w:val="808080"/>
      <w:sz w:val="20"/>
      <w:szCs w:val="22"/>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ascii="Cambria" w:hAnsi="Cambria"/>
      <w:b/>
      <w:sz w:val="20"/>
    </w:rPr>
  </w:style>
  <w:style w:type="character" w:styleId="ListLabel34">
    <w:name w:val="ListLabel 34"/>
    <w:qFormat/>
    <w:rPr>
      <w:rFonts w:ascii="Cambria" w:hAnsi="Cambria"/>
      <w:b/>
      <w:color w:val="808080"/>
      <w:sz w:val="20"/>
      <w:szCs w:val="22"/>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sz w:val="22"/>
    </w:rPr>
  </w:style>
  <w:style w:type="character" w:styleId="ListLabel39">
    <w:name w:val="ListLabel 39"/>
    <w:qFormat/>
    <w:rPr>
      <w:b/>
      <w:color w:val="808080"/>
      <w:sz w:val="20"/>
      <w:szCs w:val="22"/>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eastAsia="Times New Roman" w:cs="Times New Roman"/>
      <w:b w:val="false"/>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b/>
    </w:rPr>
  </w:style>
  <w:style w:type="character" w:styleId="ListLabel54">
    <w:name w:val="ListLabel 54"/>
    <w:qFormat/>
    <w:rPr>
      <w:b/>
    </w:rPr>
  </w:style>
  <w:style w:type="character" w:styleId="ListLabel55">
    <w:name w:val="ListLabel 55"/>
    <w:qFormat/>
    <w:rPr>
      <w:b/>
    </w:rPr>
  </w:style>
  <w:style w:type="character" w:styleId="ListLabel56">
    <w:name w:val="ListLabel 56"/>
    <w:qFormat/>
    <w:rPr>
      <w:b/>
    </w:rPr>
  </w:style>
  <w:style w:type="character" w:styleId="ListLabel57">
    <w:name w:val="ListLabel 57"/>
    <w:qFormat/>
    <w:rPr>
      <w:b/>
    </w:rPr>
  </w:style>
  <w:style w:type="character" w:styleId="ListLabel58">
    <w:name w:val="ListLabel 58"/>
    <w:qFormat/>
    <w:rPr>
      <w:b/>
    </w:rPr>
  </w:style>
  <w:style w:type="character" w:styleId="ListLabel59">
    <w:name w:val="ListLabel 59"/>
    <w:qFormat/>
    <w:rPr>
      <w:b/>
    </w:rPr>
  </w:style>
  <w:style w:type="character" w:styleId="ListLabel60">
    <w:name w:val="ListLabel 60"/>
    <w:qFormat/>
    <w:rPr>
      <w:b/>
    </w:rPr>
  </w:style>
  <w:style w:type="character" w:styleId="ListLabel61">
    <w:name w:val="ListLabel 61"/>
    <w:qFormat/>
    <w:rPr>
      <w:b/>
    </w:rPr>
  </w:style>
  <w:style w:type="character" w:styleId="ListLabel62">
    <w:name w:val="ListLabel 62"/>
    <w:qFormat/>
    <w:rPr>
      <w:b/>
    </w:rPr>
  </w:style>
  <w:style w:type="character" w:styleId="ListLabel63">
    <w:name w:val="ListLabel 63"/>
    <w:qFormat/>
    <w:rPr>
      <w:rFonts w:ascii="Cambria" w:hAnsi="Cambria"/>
      <w:b/>
      <w:sz w:val="20"/>
    </w:rPr>
  </w:style>
  <w:style w:type="character" w:styleId="ListLabel64">
    <w:name w:val="ListLabel 64"/>
    <w:qFormat/>
    <w:rPr>
      <w:b/>
    </w:rPr>
  </w:style>
  <w:style w:type="character" w:styleId="ListLabel65">
    <w:name w:val="ListLabel 65"/>
    <w:qFormat/>
    <w:rPr>
      <w:b/>
    </w:rPr>
  </w:style>
  <w:style w:type="character" w:styleId="ListLabel66">
    <w:name w:val="ListLabel 66"/>
    <w:qFormat/>
    <w:rPr>
      <w:b/>
    </w:rPr>
  </w:style>
  <w:style w:type="character" w:styleId="ListLabel67">
    <w:name w:val="ListLabel 67"/>
    <w:qFormat/>
    <w:rPr>
      <w:b/>
    </w:rPr>
  </w:style>
  <w:style w:type="character" w:styleId="ListLabel68">
    <w:name w:val="ListLabel 68"/>
    <w:qFormat/>
    <w:rPr>
      <w:b/>
    </w:rPr>
  </w:style>
  <w:style w:type="character" w:styleId="ListLabel69">
    <w:name w:val="ListLabel 69"/>
    <w:qFormat/>
    <w:rPr>
      <w:b/>
    </w:rPr>
  </w:style>
  <w:style w:type="character" w:styleId="ListLabel70">
    <w:name w:val="ListLabel 70"/>
    <w:qFormat/>
    <w:rPr>
      <w:b/>
    </w:rPr>
  </w:style>
  <w:style w:type="character" w:styleId="ListLabel71">
    <w:name w:val="ListLabel 71"/>
    <w:qFormat/>
    <w:rPr>
      <w:rFonts w:eastAsia=""/>
      <w:b/>
      <w:sz w:val="16"/>
    </w:rPr>
  </w:style>
  <w:style w:type="character" w:styleId="ListLabel72">
    <w:name w:val="ListLabel 72"/>
    <w:qFormat/>
    <w:rPr>
      <w:color w:val="auto"/>
      <w:sz w:val="18"/>
    </w:rPr>
  </w:style>
  <w:style w:type="character" w:styleId="ListLabel73">
    <w:name w:val="ListLabel 73"/>
    <w:qFormat/>
    <w:rPr>
      <w:rFonts w:cs="Times New Roman"/>
      <w:b/>
      <w:color w:val="auto"/>
      <w:kern w:val="2"/>
      <w:sz w:val="28"/>
      <w:szCs w:val="28"/>
    </w:rPr>
  </w:style>
  <w:style w:type="character" w:styleId="ListLabel74">
    <w:name w:val="ListLabel 74"/>
    <w:qFormat/>
    <w:rPr>
      <w:b w:val="false"/>
      <w:i/>
      <w:lang w:val="ru-RU"/>
    </w:rPr>
  </w:style>
  <w:style w:type="character" w:styleId="ListLabel75">
    <w:name w:val="ListLabel 75"/>
    <w:qFormat/>
    <w:rPr>
      <w:rFonts w:eastAsia=""/>
      <w:b/>
    </w:rPr>
  </w:style>
  <w:style w:type="character" w:styleId="ListLabel76">
    <w:name w:val="ListLabel 76"/>
    <w:qFormat/>
    <w:rPr>
      <w:rFonts w:eastAsia=""/>
      <w:b/>
    </w:rPr>
  </w:style>
  <w:style w:type="character" w:styleId="Style21">
    <w:name w:val="Ссылка указателя"/>
    <w:qFormat/>
    <w:rPr/>
  </w:style>
  <w:style w:type="paragraph" w:styleId="Style22">
    <w:name w:val="Заголовок"/>
    <w:basedOn w:val="Normal"/>
    <w:next w:val="Style23"/>
    <w:qFormat/>
    <w:pPr>
      <w:keepNext w:val="true"/>
      <w:spacing w:before="240" w:after="120"/>
    </w:pPr>
    <w:rPr>
      <w:rFonts w:ascii="Liberation Sans" w:hAnsi="Liberation Sans" w:eastAsia="Microsoft YaHei" w:cs="Mangal"/>
      <w:sz w:val="28"/>
      <w:szCs w:val="28"/>
    </w:rPr>
  </w:style>
  <w:style w:type="paragraph" w:styleId="Style23">
    <w:name w:val="Body Text"/>
    <w:basedOn w:val="Normal"/>
    <w:link w:val="affb"/>
    <w:uiPriority w:val="99"/>
    <w:rsid w:val="00161b4a"/>
    <w:pPr>
      <w:spacing w:before="0" w:after="120"/>
    </w:pPr>
    <w:rPr>
      <w:rFonts w:ascii="Calibri" w:hAnsi="Calibri" w:eastAsia="PMingLiU"/>
      <w:sz w:val="21"/>
      <w:lang w:val="en-AU" w:eastAsia="en-US" w:bidi="ar-SA"/>
    </w:rPr>
  </w:style>
  <w:style w:type="paragraph" w:styleId="Style24">
    <w:name w:val="List"/>
    <w:basedOn w:val="Style23"/>
    <w:pPr/>
    <w:rPr>
      <w:rFonts w:cs="Mangal"/>
    </w:rPr>
  </w:style>
  <w:style w:type="paragraph" w:styleId="Style25">
    <w:name w:val="Caption"/>
    <w:basedOn w:val="Normal"/>
    <w:qFormat/>
    <w:pPr>
      <w:suppressLineNumbers/>
      <w:spacing w:before="120" w:after="120"/>
    </w:pPr>
    <w:rPr>
      <w:rFonts w:cs="Mangal"/>
      <w:i/>
      <w:iCs/>
      <w:sz w:val="24"/>
      <w:szCs w:val="24"/>
    </w:rPr>
  </w:style>
  <w:style w:type="paragraph" w:styleId="Style26">
    <w:name w:val="Указатель"/>
    <w:basedOn w:val="Normal"/>
    <w:qFormat/>
    <w:pPr>
      <w:suppressLineNumbers/>
    </w:pPr>
    <w:rPr>
      <w:rFonts w:cs="Mangal"/>
    </w:rPr>
  </w:style>
  <w:style w:type="paragraph" w:styleId="37" w:customStyle="1">
    <w:name w:val="Основной текст (3)"/>
    <w:basedOn w:val="Normal"/>
    <w:link w:val="31"/>
    <w:qFormat/>
    <w:pPr>
      <w:shd w:val="clear" w:color="auto" w:fill="FFFFFF"/>
      <w:spacing w:lineRule="auto" w:before="0" w:after="480"/>
      <w:jc w:val="center"/>
    </w:pPr>
    <w:rPr>
      <w:rFonts w:ascii="Times New Roman" w:hAnsi="Times New Roman" w:eastAsia="Times New Roman"/>
      <w:b/>
      <w:bCs/>
      <w:sz w:val="32"/>
      <w:szCs w:val="32"/>
    </w:rPr>
  </w:style>
  <w:style w:type="paragraph" w:styleId="29" w:customStyle="1">
    <w:name w:val="Заголовок №2"/>
    <w:basedOn w:val="Normal"/>
    <w:link w:val="21"/>
    <w:qFormat/>
    <w:pPr>
      <w:shd w:val="clear" w:color="auto" w:fill="FFFFFF"/>
      <w:spacing w:lineRule="auto" w:before="0" w:after="540"/>
      <w:jc w:val="both"/>
      <w:outlineLvl w:val="1"/>
    </w:pPr>
    <w:rPr>
      <w:rFonts w:ascii="Times New Roman" w:hAnsi="Times New Roman" w:eastAsia="Times New Roman"/>
      <w:b/>
      <w:bCs/>
      <w:sz w:val="28"/>
      <w:szCs w:val="28"/>
    </w:rPr>
  </w:style>
  <w:style w:type="paragraph" w:styleId="Style27" w:customStyle="1">
    <w:name w:val="Колонтитул"/>
    <w:basedOn w:val="Normal"/>
    <w:link w:val="a4"/>
    <w:qFormat/>
    <w:pPr>
      <w:shd w:val="clear" w:color="auto" w:fill="FFFFFF"/>
      <w:spacing w:lineRule="auto" w:before="60" w:after="0"/>
      <w:jc w:val="right"/>
    </w:pPr>
    <w:rPr>
      <w:rFonts w:ascii="Times New Roman" w:hAnsi="Times New Roman" w:eastAsia="Times New Roman"/>
      <w:i/>
      <w:iCs/>
      <w:sz w:val="17"/>
      <w:szCs w:val="17"/>
    </w:rPr>
  </w:style>
  <w:style w:type="paragraph" w:styleId="38">
    <w:name w:val="TOC 3"/>
    <w:basedOn w:val="Normal"/>
    <w:link w:val="33"/>
    <w:autoRedefine/>
    <w:uiPriority w:val="39"/>
    <w:pPr>
      <w:ind w:left="240" w:hanging="0"/>
    </w:pPr>
    <w:rPr>
      <w:rFonts w:cs="Calibri" w:cstheme="minorHAnsi"/>
      <w:sz w:val="20"/>
      <w:szCs w:val="20"/>
    </w:rPr>
  </w:style>
  <w:style w:type="paragraph" w:styleId="Style28" w:customStyle="1">
    <w:name w:val="Подпись к картинке"/>
    <w:basedOn w:val="Normal"/>
    <w:link w:val="Exact"/>
    <w:qFormat/>
    <w:pPr>
      <w:shd w:val="clear" w:color="auto" w:fill="FFFFFF"/>
      <w:spacing w:lineRule="exact" w:line="199"/>
      <w:jc w:val="both"/>
    </w:pPr>
    <w:rPr>
      <w:rFonts w:ascii="Times New Roman" w:hAnsi="Times New Roman" w:eastAsia="Times New Roman"/>
      <w:sz w:val="17"/>
      <w:szCs w:val="17"/>
    </w:rPr>
  </w:style>
  <w:style w:type="paragraph" w:styleId="55" w:customStyle="1">
    <w:name w:val="Основной текст (5)"/>
    <w:basedOn w:val="Normal"/>
    <w:link w:val="51"/>
    <w:qFormat/>
    <w:pPr>
      <w:shd w:val="clear" w:color="auto" w:fill="FFFFFF"/>
      <w:spacing w:lineRule="exact" w:line="202" w:before="420" w:after="540"/>
      <w:jc w:val="center"/>
    </w:pPr>
    <w:rPr>
      <w:rFonts w:ascii="Times New Roman" w:hAnsi="Times New Roman" w:eastAsia="Times New Roman"/>
      <w:sz w:val="17"/>
      <w:szCs w:val="17"/>
    </w:rPr>
  </w:style>
  <w:style w:type="paragraph" w:styleId="63" w:customStyle="1">
    <w:name w:val="Основной текст (6)"/>
    <w:basedOn w:val="Normal"/>
    <w:link w:val="61"/>
    <w:qFormat/>
    <w:pPr>
      <w:shd w:val="clear" w:color="auto" w:fill="FFFFFF"/>
      <w:spacing w:lineRule="exact" w:line="199" w:before="0" w:after="420"/>
    </w:pPr>
    <w:rPr>
      <w:rFonts w:ascii="Times New Roman" w:hAnsi="Times New Roman" w:eastAsia="Times New Roman"/>
      <w:i/>
      <w:iCs/>
      <w:sz w:val="17"/>
      <w:szCs w:val="17"/>
    </w:rPr>
  </w:style>
  <w:style w:type="paragraph" w:styleId="45" w:customStyle="1">
    <w:name w:val="Основной текст (4)"/>
    <w:basedOn w:val="Normal"/>
    <w:link w:val="41"/>
    <w:qFormat/>
    <w:pPr>
      <w:shd w:val="clear" w:color="auto" w:fill="FFFFFF"/>
      <w:spacing w:lineRule="auto" w:before="0" w:after="420"/>
      <w:jc w:val="both"/>
    </w:pPr>
    <w:rPr>
      <w:rFonts w:ascii="Times New Roman" w:hAnsi="Times New Roman" w:eastAsia="Times New Roman"/>
      <w:sz w:val="26"/>
      <w:szCs w:val="26"/>
    </w:rPr>
  </w:style>
  <w:style w:type="paragraph" w:styleId="210" w:customStyle="1">
    <w:name w:val="Основной текст (2)"/>
    <w:basedOn w:val="Normal"/>
    <w:link w:val="23"/>
    <w:qFormat/>
    <w:pPr>
      <w:shd w:val="clear" w:color="auto" w:fill="FFFFFF"/>
      <w:spacing w:lineRule="auto" w:before="480" w:after="480"/>
      <w:ind w:hanging="360"/>
      <w:jc w:val="both"/>
    </w:pPr>
    <w:rPr>
      <w:rFonts w:ascii="Times New Roman" w:hAnsi="Times New Roman" w:eastAsia="Times New Roman"/>
      <w:sz w:val="22"/>
      <w:szCs w:val="22"/>
    </w:rPr>
  </w:style>
  <w:style w:type="paragraph" w:styleId="73" w:customStyle="1">
    <w:name w:val="Основной текст (7)"/>
    <w:basedOn w:val="Normal"/>
    <w:link w:val="71"/>
    <w:qFormat/>
    <w:pPr>
      <w:shd w:val="clear" w:color="auto" w:fill="FFFFFF"/>
      <w:spacing w:lineRule="auto" w:before="420" w:after="240"/>
    </w:pPr>
    <w:rPr>
      <w:rFonts w:ascii="Times New Roman" w:hAnsi="Times New Roman" w:eastAsia="Times New Roman"/>
      <w:sz w:val="19"/>
      <w:szCs w:val="19"/>
    </w:rPr>
  </w:style>
  <w:style w:type="paragraph" w:styleId="83" w:customStyle="1">
    <w:name w:val="Основной текст (8)"/>
    <w:basedOn w:val="Normal"/>
    <w:link w:val="81"/>
    <w:qFormat/>
    <w:pPr>
      <w:shd w:val="clear" w:color="auto" w:fill="FFFFFF"/>
      <w:spacing w:lineRule="auto" w:before="5280" w:after="180"/>
      <w:jc w:val="right"/>
    </w:pPr>
    <w:rPr>
      <w:rFonts w:ascii="Times New Roman" w:hAnsi="Times New Roman" w:eastAsia="Times New Roman"/>
      <w:b/>
      <w:bCs/>
      <w:sz w:val="17"/>
      <w:szCs w:val="17"/>
    </w:rPr>
  </w:style>
  <w:style w:type="paragraph" w:styleId="93" w:customStyle="1">
    <w:name w:val="Основной текст (9)"/>
    <w:basedOn w:val="Normal"/>
    <w:link w:val="91"/>
    <w:qFormat/>
    <w:pPr>
      <w:shd w:val="clear" w:color="auto" w:fill="FFFFFF"/>
      <w:spacing w:lineRule="auto"/>
      <w:jc w:val="right"/>
    </w:pPr>
    <w:rPr>
      <w:rFonts w:ascii="Century Schoolbook" w:hAnsi="Century Schoolbook" w:eastAsia="Century Schoolbook" w:cs="Century Schoolbook"/>
      <w:i/>
      <w:iCs/>
      <w:sz w:val="11"/>
      <w:szCs w:val="11"/>
    </w:rPr>
  </w:style>
  <w:style w:type="paragraph" w:styleId="101" w:customStyle="1">
    <w:name w:val="Основной текст (10)"/>
    <w:basedOn w:val="Normal"/>
    <w:link w:val="100"/>
    <w:qFormat/>
    <w:pPr>
      <w:shd w:val="clear" w:color="auto" w:fill="FFFFFF"/>
      <w:spacing w:lineRule="auto" w:before="0" w:after="480"/>
      <w:jc w:val="right"/>
    </w:pPr>
    <w:rPr>
      <w:rFonts w:ascii="Times New Roman" w:hAnsi="Times New Roman" w:eastAsia="Times New Roman"/>
      <w:i/>
      <w:iCs/>
      <w:sz w:val="12"/>
      <w:szCs w:val="12"/>
    </w:rPr>
  </w:style>
  <w:style w:type="paragraph" w:styleId="112" w:customStyle="1">
    <w:name w:val="Основной текст (11)"/>
    <w:basedOn w:val="Normal"/>
    <w:link w:val="11"/>
    <w:qFormat/>
    <w:pPr>
      <w:shd w:val="clear" w:color="auto" w:fill="FFFFFF"/>
      <w:spacing w:lineRule="auto" w:before="1440" w:after="120"/>
      <w:jc w:val="right"/>
    </w:pPr>
    <w:rPr>
      <w:rFonts w:ascii="Times New Roman" w:hAnsi="Times New Roman" w:eastAsia="Times New Roman"/>
      <w:sz w:val="13"/>
      <w:szCs w:val="13"/>
    </w:rPr>
  </w:style>
  <w:style w:type="paragraph" w:styleId="121" w:customStyle="1">
    <w:name w:val="Основной текст (12)"/>
    <w:basedOn w:val="Normal"/>
    <w:link w:val="12"/>
    <w:qFormat/>
    <w:pPr>
      <w:shd w:val="clear" w:color="auto" w:fill="FFFFFF"/>
      <w:spacing w:lineRule="exact" w:line="149" w:before="120" w:after="0"/>
      <w:jc w:val="both"/>
    </w:pPr>
    <w:rPr>
      <w:rFonts w:ascii="Times New Roman" w:hAnsi="Times New Roman" w:eastAsia="Times New Roman"/>
      <w:sz w:val="12"/>
      <w:szCs w:val="12"/>
    </w:rPr>
  </w:style>
  <w:style w:type="paragraph" w:styleId="131" w:customStyle="1">
    <w:name w:val="Основной текст (13)"/>
    <w:basedOn w:val="Normal"/>
    <w:link w:val="13"/>
    <w:qFormat/>
    <w:pPr>
      <w:shd w:val="clear" w:color="auto" w:fill="FFFFFF"/>
      <w:spacing w:lineRule="auto" w:before="780" w:after="180"/>
    </w:pPr>
    <w:rPr>
      <w:rFonts w:ascii="Arial" w:hAnsi="Arial" w:eastAsia="Arial" w:cs="Arial"/>
      <w:sz w:val="18"/>
      <w:szCs w:val="18"/>
    </w:rPr>
  </w:style>
  <w:style w:type="paragraph" w:styleId="172" w:customStyle="1">
    <w:name w:val="Основной текст (17)"/>
    <w:basedOn w:val="Normal"/>
    <w:link w:val="17"/>
    <w:qFormat/>
    <w:pPr>
      <w:shd w:val="clear" w:color="auto" w:fill="FFFFFF"/>
      <w:spacing w:lineRule="exact" w:line="245" w:before="180" w:after="0"/>
    </w:pPr>
    <w:rPr>
      <w:rFonts w:ascii="Times New Roman" w:hAnsi="Times New Roman" w:eastAsia="Times New Roman"/>
      <w:b/>
      <w:bCs/>
      <w:sz w:val="18"/>
      <w:szCs w:val="18"/>
    </w:rPr>
  </w:style>
  <w:style w:type="paragraph" w:styleId="39" w:customStyle="1">
    <w:name w:val="Заголовок №3"/>
    <w:basedOn w:val="Normal"/>
    <w:link w:val="35"/>
    <w:qFormat/>
    <w:pPr>
      <w:shd w:val="clear" w:color="auto" w:fill="FFFFFF"/>
      <w:spacing w:lineRule="auto" w:before="360" w:after="180"/>
      <w:jc w:val="both"/>
      <w:outlineLvl w:val="2"/>
    </w:pPr>
    <w:rPr>
      <w:rFonts w:ascii="Times New Roman" w:hAnsi="Times New Roman" w:eastAsia="Times New Roman"/>
      <w:b/>
      <w:bCs/>
      <w:sz w:val="22"/>
      <w:szCs w:val="22"/>
    </w:rPr>
  </w:style>
  <w:style w:type="paragraph" w:styleId="141" w:customStyle="1">
    <w:name w:val="Основной текст (14)"/>
    <w:basedOn w:val="Normal"/>
    <w:link w:val="14"/>
    <w:qFormat/>
    <w:pPr>
      <w:shd w:val="clear" w:color="auto" w:fill="FFFFFF"/>
      <w:spacing w:lineRule="auto" w:before="300" w:after="180"/>
      <w:jc w:val="both"/>
    </w:pPr>
    <w:rPr>
      <w:rFonts w:ascii="Times New Roman" w:hAnsi="Times New Roman" w:eastAsia="Times New Roman"/>
      <w:b/>
      <w:bCs/>
      <w:i/>
      <w:iCs/>
      <w:sz w:val="22"/>
      <w:szCs w:val="22"/>
    </w:rPr>
  </w:style>
  <w:style w:type="paragraph" w:styleId="151" w:customStyle="1">
    <w:name w:val="Основной текст (15)"/>
    <w:basedOn w:val="Normal"/>
    <w:link w:val="15"/>
    <w:qFormat/>
    <w:pPr>
      <w:shd w:val="clear" w:color="auto" w:fill="FFFFFF"/>
      <w:spacing w:lineRule="auto" w:before="180" w:after="180"/>
      <w:jc w:val="both"/>
    </w:pPr>
    <w:rPr>
      <w:rFonts w:ascii="Times New Roman" w:hAnsi="Times New Roman" w:eastAsia="Times New Roman"/>
      <w:i/>
      <w:iCs/>
      <w:sz w:val="22"/>
      <w:szCs w:val="22"/>
    </w:rPr>
  </w:style>
  <w:style w:type="paragraph" w:styleId="162" w:customStyle="1">
    <w:name w:val="Основной текст (16)"/>
    <w:basedOn w:val="Normal"/>
    <w:link w:val="16"/>
    <w:qFormat/>
    <w:pPr>
      <w:shd w:val="clear" w:color="auto" w:fill="FFFFFF"/>
      <w:spacing w:lineRule="auto" w:before="0" w:after="180"/>
      <w:jc w:val="both"/>
    </w:pPr>
    <w:rPr>
      <w:rFonts w:ascii="Times New Roman" w:hAnsi="Times New Roman" w:eastAsia="Times New Roman"/>
      <w:b/>
      <w:bCs/>
      <w:sz w:val="22"/>
      <w:szCs w:val="22"/>
    </w:rPr>
  </w:style>
  <w:style w:type="paragraph" w:styleId="181" w:customStyle="1">
    <w:name w:val="Основной текст (18)"/>
    <w:basedOn w:val="Normal"/>
    <w:link w:val="18"/>
    <w:qFormat/>
    <w:pPr>
      <w:shd w:val="clear" w:color="auto" w:fill="FFFFFF"/>
      <w:spacing w:lineRule="auto"/>
    </w:pPr>
    <w:rPr>
      <w:rFonts w:ascii="Times New Roman" w:hAnsi="Times New Roman" w:eastAsia="Times New Roman"/>
      <w:b/>
      <w:bCs/>
      <w:sz w:val="28"/>
      <w:szCs w:val="28"/>
    </w:rPr>
  </w:style>
  <w:style w:type="paragraph" w:styleId="191" w:customStyle="1">
    <w:name w:val="Основной текст (19)"/>
    <w:basedOn w:val="Normal"/>
    <w:link w:val="19Exact"/>
    <w:qFormat/>
    <w:pPr>
      <w:shd w:val="clear" w:color="auto" w:fill="FFFFFF"/>
      <w:spacing w:lineRule="auto"/>
    </w:pPr>
    <w:rPr>
      <w:rFonts w:ascii="Gulim" w:hAnsi="Gulim" w:eastAsia="Gulim" w:cs="Gulim"/>
      <w:spacing w:val="-20"/>
      <w:sz w:val="22"/>
      <w:szCs w:val="22"/>
    </w:rPr>
  </w:style>
  <w:style w:type="paragraph" w:styleId="20" w:customStyle="1">
    <w:name w:val="Основной текст (20)"/>
    <w:basedOn w:val="Normal"/>
    <w:link w:val="20Exact"/>
    <w:qFormat/>
    <w:pPr>
      <w:shd w:val="clear" w:color="auto" w:fill="FFFFFF"/>
      <w:spacing w:lineRule="auto"/>
    </w:pPr>
    <w:rPr>
      <w:rFonts w:ascii="Gulim" w:hAnsi="Gulim" w:eastAsia="Gulim" w:cs="Gulim"/>
      <w:spacing w:val="-30"/>
      <w:sz w:val="22"/>
      <w:szCs w:val="22"/>
    </w:rPr>
  </w:style>
  <w:style w:type="paragraph" w:styleId="221" w:customStyle="1">
    <w:name w:val="Основной текст (22)"/>
    <w:basedOn w:val="Normal"/>
    <w:link w:val="22Exact"/>
    <w:qFormat/>
    <w:pPr>
      <w:shd w:val="clear" w:color="auto" w:fill="FFFFFF"/>
      <w:spacing w:lineRule="auto"/>
    </w:pPr>
    <w:rPr>
      <w:rFonts w:ascii="Gulim" w:hAnsi="Gulim" w:eastAsia="Gulim" w:cs="Gulim"/>
      <w:i/>
      <w:iCs/>
      <w:spacing w:val="-40"/>
      <w:sz w:val="23"/>
      <w:szCs w:val="23"/>
    </w:rPr>
  </w:style>
  <w:style w:type="paragraph" w:styleId="212" w:customStyle="1">
    <w:name w:val="Основной текст (21)"/>
    <w:basedOn w:val="Normal"/>
    <w:link w:val="210"/>
    <w:qFormat/>
    <w:pPr>
      <w:shd w:val="clear" w:color="auto" w:fill="FFFFFF"/>
      <w:spacing w:lineRule="auto"/>
      <w:jc w:val="both"/>
    </w:pPr>
    <w:rPr>
      <w:rFonts w:ascii="Times New Roman" w:hAnsi="Times New Roman" w:eastAsia="Times New Roman"/>
      <w:b/>
      <w:bCs/>
      <w:i/>
      <w:iCs/>
      <w:sz w:val="15"/>
      <w:szCs w:val="15"/>
    </w:rPr>
  </w:style>
  <w:style w:type="paragraph" w:styleId="Style29" w:customStyle="1">
    <w:name w:val="Подпись к таблице"/>
    <w:basedOn w:val="Normal"/>
    <w:link w:val="a8"/>
    <w:qFormat/>
    <w:pPr>
      <w:shd w:val="clear" w:color="auto" w:fill="FFFFFF"/>
      <w:spacing w:lineRule="auto"/>
    </w:pPr>
    <w:rPr>
      <w:rFonts w:ascii="Times New Roman" w:hAnsi="Times New Roman" w:eastAsia="Times New Roman"/>
      <w:b/>
      <w:bCs/>
      <w:sz w:val="13"/>
      <w:szCs w:val="13"/>
    </w:rPr>
  </w:style>
  <w:style w:type="paragraph" w:styleId="213" w:customStyle="1">
    <w:name w:val="Подпись к таблице (2)"/>
    <w:basedOn w:val="Normal"/>
    <w:link w:val="26"/>
    <w:qFormat/>
    <w:pPr>
      <w:shd w:val="clear" w:color="auto" w:fill="FFFFFF"/>
      <w:spacing w:lineRule="auto"/>
      <w:jc w:val="both"/>
    </w:pPr>
    <w:rPr>
      <w:rFonts w:ascii="Times New Roman" w:hAnsi="Times New Roman" w:eastAsia="Times New Roman"/>
      <w:b/>
      <w:bCs/>
      <w:sz w:val="18"/>
      <w:szCs w:val="18"/>
    </w:rPr>
  </w:style>
  <w:style w:type="paragraph" w:styleId="232" w:customStyle="1">
    <w:name w:val="Основной текст (23)"/>
    <w:basedOn w:val="Normal"/>
    <w:link w:val="23Exact"/>
    <w:qFormat/>
    <w:pPr>
      <w:shd w:val="clear" w:color="auto" w:fill="FFFFFF"/>
      <w:spacing w:lineRule="auto"/>
    </w:pPr>
    <w:rPr>
      <w:rFonts w:ascii="Gulim" w:hAnsi="Gulim" w:eastAsia="Gulim" w:cs="Gulim"/>
      <w:i/>
      <w:iCs/>
      <w:spacing w:val="-40"/>
      <w:sz w:val="23"/>
      <w:szCs w:val="23"/>
    </w:rPr>
  </w:style>
  <w:style w:type="paragraph" w:styleId="241" w:customStyle="1">
    <w:name w:val="Основной текст (24)"/>
    <w:basedOn w:val="Normal"/>
    <w:link w:val="24Exact"/>
    <w:qFormat/>
    <w:pPr>
      <w:shd w:val="clear" w:color="auto" w:fill="FFFFFF"/>
      <w:spacing w:lineRule="auto"/>
    </w:pPr>
    <w:rPr>
      <w:rFonts w:ascii="Times New Roman" w:hAnsi="Times New Roman" w:eastAsia="Times New Roman"/>
      <w:b/>
      <w:bCs/>
      <w:sz w:val="28"/>
      <w:szCs w:val="28"/>
    </w:rPr>
  </w:style>
  <w:style w:type="paragraph" w:styleId="214" w:customStyle="1">
    <w:name w:val="Номер заголовка №2"/>
    <w:basedOn w:val="Normal"/>
    <w:link w:val="2Exact0"/>
    <w:qFormat/>
    <w:pPr>
      <w:shd w:val="clear" w:color="auto" w:fill="FFFFFF"/>
      <w:spacing w:lineRule="auto"/>
    </w:pPr>
    <w:rPr>
      <w:rFonts w:ascii="Times New Roman" w:hAnsi="Times New Roman" w:eastAsia="Times New Roman"/>
      <w:b/>
      <w:bCs/>
      <w:sz w:val="28"/>
      <w:szCs w:val="28"/>
    </w:rPr>
  </w:style>
  <w:style w:type="paragraph" w:styleId="222" w:customStyle="1">
    <w:name w:val="Заголовок №2 (2)"/>
    <w:basedOn w:val="Normal"/>
    <w:link w:val="22Exact0"/>
    <w:qFormat/>
    <w:pPr>
      <w:shd w:val="clear" w:color="auto" w:fill="FFFFFF"/>
      <w:spacing w:lineRule="auto"/>
      <w:outlineLvl w:val="1"/>
    </w:pPr>
    <w:rPr>
      <w:rFonts w:ascii="Times New Roman" w:hAnsi="Times New Roman" w:eastAsia="Times New Roman"/>
      <w:b/>
      <w:bCs/>
      <w:sz w:val="28"/>
      <w:szCs w:val="28"/>
    </w:rPr>
  </w:style>
  <w:style w:type="paragraph" w:styleId="310" w:customStyle="1">
    <w:name w:val="Подпись к таблице (3)"/>
    <w:basedOn w:val="Normal"/>
    <w:link w:val="38"/>
    <w:qFormat/>
    <w:pPr>
      <w:shd w:val="clear" w:color="auto" w:fill="FFFFFF"/>
      <w:spacing w:lineRule="auto"/>
    </w:pPr>
    <w:rPr>
      <w:rFonts w:ascii="Times New Roman" w:hAnsi="Times New Roman" w:eastAsia="Times New Roman"/>
      <w:b/>
      <w:bCs/>
      <w:sz w:val="22"/>
      <w:szCs w:val="22"/>
    </w:rPr>
  </w:style>
  <w:style w:type="paragraph" w:styleId="46" w:customStyle="1">
    <w:name w:val="Подпись к таблице (4)"/>
    <w:basedOn w:val="Normal"/>
    <w:link w:val="43"/>
    <w:qFormat/>
    <w:pPr>
      <w:shd w:val="clear" w:color="auto" w:fill="FFFFFF"/>
      <w:spacing w:lineRule="auto"/>
    </w:pPr>
    <w:rPr>
      <w:rFonts w:ascii="Times New Roman" w:hAnsi="Times New Roman" w:eastAsia="Times New Roman"/>
      <w:b/>
      <w:bCs/>
      <w:i/>
      <w:iCs/>
      <w:sz w:val="19"/>
      <w:szCs w:val="19"/>
    </w:rPr>
  </w:style>
  <w:style w:type="paragraph" w:styleId="56" w:customStyle="1">
    <w:name w:val="Подпись к таблице (5)"/>
    <w:basedOn w:val="Normal"/>
    <w:link w:val="53"/>
    <w:qFormat/>
    <w:pPr>
      <w:shd w:val="clear" w:color="auto" w:fill="FFFFFF"/>
      <w:spacing w:lineRule="auto" w:before="0" w:after="180"/>
    </w:pPr>
    <w:rPr>
      <w:rFonts w:ascii="Times New Roman" w:hAnsi="Times New Roman" w:eastAsia="Times New Roman"/>
      <w:b/>
      <w:bCs/>
      <w:sz w:val="18"/>
      <w:szCs w:val="18"/>
    </w:rPr>
  </w:style>
  <w:style w:type="paragraph" w:styleId="261" w:customStyle="1">
    <w:name w:val="Основной текст (26)"/>
    <w:basedOn w:val="Normal"/>
    <w:link w:val="26Exact"/>
    <w:qFormat/>
    <w:pPr>
      <w:shd w:val="clear" w:color="auto" w:fill="FFFFFF"/>
      <w:spacing w:lineRule="exact" w:line="269"/>
      <w:jc w:val="both"/>
    </w:pPr>
    <w:rPr>
      <w:rFonts w:ascii="Times New Roman" w:hAnsi="Times New Roman" w:eastAsia="Times New Roman"/>
      <w:b/>
      <w:bCs/>
      <w:i/>
      <w:iCs/>
      <w:sz w:val="19"/>
      <w:szCs w:val="19"/>
    </w:rPr>
  </w:style>
  <w:style w:type="paragraph" w:styleId="324" w:customStyle="1">
    <w:name w:val="Заголовок №3 (2)"/>
    <w:basedOn w:val="Normal"/>
    <w:link w:val="320"/>
    <w:qFormat/>
    <w:pPr>
      <w:shd w:val="clear" w:color="auto" w:fill="FFFFFF"/>
      <w:spacing w:lineRule="auto" w:before="0" w:after="180"/>
      <w:jc w:val="both"/>
      <w:outlineLvl w:val="2"/>
    </w:pPr>
    <w:rPr>
      <w:rFonts w:ascii="Times New Roman" w:hAnsi="Times New Roman" w:eastAsia="Times New Roman"/>
      <w:b/>
      <w:bCs/>
      <w:sz w:val="18"/>
      <w:szCs w:val="18"/>
    </w:rPr>
  </w:style>
  <w:style w:type="paragraph" w:styleId="253" w:customStyle="1">
    <w:name w:val="Основной текст (25)"/>
    <w:basedOn w:val="Normal"/>
    <w:link w:val="250"/>
    <w:qFormat/>
    <w:pPr>
      <w:shd w:val="clear" w:color="auto" w:fill="FFFFFF"/>
      <w:spacing w:lineRule="exact" w:line="278"/>
      <w:jc w:val="both"/>
    </w:pPr>
    <w:rPr>
      <w:rFonts w:ascii="Times New Roman" w:hAnsi="Times New Roman" w:eastAsia="Times New Roman"/>
      <w:b/>
      <w:bCs/>
      <w:sz w:val="18"/>
      <w:szCs w:val="18"/>
    </w:rPr>
  </w:style>
  <w:style w:type="paragraph" w:styleId="233" w:customStyle="1">
    <w:name w:val="Заголовок №2 (3)"/>
    <w:basedOn w:val="Normal"/>
    <w:link w:val="231"/>
    <w:qFormat/>
    <w:pPr>
      <w:shd w:val="clear" w:color="auto" w:fill="FFFFFF"/>
      <w:spacing w:lineRule="auto" w:before="240" w:after="360"/>
      <w:jc w:val="both"/>
      <w:outlineLvl w:val="1"/>
    </w:pPr>
    <w:rPr>
      <w:rFonts w:ascii="Gulim" w:hAnsi="Gulim" w:eastAsia="Gulim" w:cs="Gulim"/>
      <w:spacing w:val="-30"/>
      <w:sz w:val="22"/>
      <w:szCs w:val="22"/>
      <w:lang w:val="en-US" w:eastAsia="en-US" w:bidi="en-US"/>
    </w:rPr>
  </w:style>
  <w:style w:type="paragraph" w:styleId="271" w:customStyle="1">
    <w:name w:val="Основной текст (27)"/>
    <w:basedOn w:val="Normal"/>
    <w:link w:val="27Exact"/>
    <w:qFormat/>
    <w:pPr>
      <w:shd w:val="clear" w:color="auto" w:fill="FFFFFF"/>
      <w:spacing w:lineRule="auto"/>
    </w:pPr>
    <w:rPr>
      <w:rFonts w:ascii="Times New Roman" w:hAnsi="Times New Roman" w:eastAsia="Times New Roman"/>
      <w:b/>
      <w:bCs/>
      <w:i/>
      <w:iCs/>
      <w:sz w:val="26"/>
      <w:szCs w:val="26"/>
    </w:rPr>
  </w:style>
  <w:style w:type="paragraph" w:styleId="281" w:customStyle="1">
    <w:name w:val="Основной текст (28)"/>
    <w:basedOn w:val="Normal"/>
    <w:link w:val="28Exact"/>
    <w:qFormat/>
    <w:pPr>
      <w:shd w:val="clear" w:color="auto" w:fill="FFFFFF"/>
      <w:spacing w:lineRule="auto"/>
    </w:pPr>
    <w:rPr>
      <w:rFonts w:ascii="Gulim" w:hAnsi="Gulim" w:eastAsia="Gulim" w:cs="Gulim"/>
      <w:spacing w:val="-30"/>
      <w:sz w:val="22"/>
      <w:szCs w:val="22"/>
    </w:rPr>
  </w:style>
  <w:style w:type="paragraph" w:styleId="291" w:customStyle="1">
    <w:name w:val="Основной текст (29)"/>
    <w:basedOn w:val="Normal"/>
    <w:link w:val="29Exact"/>
    <w:qFormat/>
    <w:pPr>
      <w:shd w:val="clear" w:color="auto" w:fill="FFFFFF"/>
      <w:spacing w:lineRule="auto"/>
    </w:pPr>
    <w:rPr>
      <w:rFonts w:ascii="Times New Roman" w:hAnsi="Times New Roman" w:eastAsia="Times New Roman"/>
      <w:b/>
      <w:bCs/>
      <w:sz w:val="26"/>
      <w:szCs w:val="26"/>
    </w:rPr>
  </w:style>
  <w:style w:type="paragraph" w:styleId="30" w:customStyle="1">
    <w:name w:val="Основной текст (30)"/>
    <w:basedOn w:val="Normal"/>
    <w:link w:val="30Exact"/>
    <w:qFormat/>
    <w:pPr>
      <w:shd w:val="clear" w:color="auto" w:fill="FFFFFF"/>
      <w:spacing w:lineRule="exact" w:line="190"/>
    </w:pPr>
    <w:rPr>
      <w:sz w:val="15"/>
      <w:szCs w:val="15"/>
    </w:rPr>
  </w:style>
  <w:style w:type="paragraph" w:styleId="311" w:customStyle="1">
    <w:name w:val="Основной текст (31)"/>
    <w:basedOn w:val="Normal"/>
    <w:link w:val="31Exact"/>
    <w:qFormat/>
    <w:pPr>
      <w:shd w:val="clear" w:color="auto" w:fill="FFFFFF"/>
      <w:spacing w:lineRule="exact" w:line="190"/>
    </w:pPr>
    <w:rPr>
      <w:sz w:val="14"/>
      <w:szCs w:val="14"/>
    </w:rPr>
  </w:style>
  <w:style w:type="paragraph" w:styleId="113" w:customStyle="1">
    <w:name w:val="Заголовок №1"/>
    <w:basedOn w:val="Normal"/>
    <w:link w:val="1a"/>
    <w:qFormat/>
    <w:pPr>
      <w:shd w:val="clear" w:color="auto" w:fill="FFFFFF"/>
      <w:spacing w:lineRule="auto" w:before="0" w:after="360"/>
      <w:outlineLvl w:val="0"/>
    </w:pPr>
    <w:rPr>
      <w:rFonts w:ascii="Times New Roman" w:hAnsi="Times New Roman" w:eastAsia="Times New Roman"/>
      <w:b/>
      <w:bCs/>
      <w:sz w:val="52"/>
      <w:szCs w:val="52"/>
    </w:rPr>
  </w:style>
  <w:style w:type="paragraph" w:styleId="325" w:customStyle="1">
    <w:name w:val="Основной текст (32)"/>
    <w:basedOn w:val="Normal"/>
    <w:link w:val="323"/>
    <w:qFormat/>
    <w:pPr>
      <w:shd w:val="clear" w:color="auto" w:fill="FFFFFF"/>
      <w:spacing w:lineRule="exact" w:line="202" w:before="360" w:after="600"/>
      <w:jc w:val="right"/>
    </w:pPr>
    <w:rPr>
      <w:rFonts w:ascii="Times New Roman" w:hAnsi="Times New Roman" w:eastAsia="Times New Roman"/>
      <w:b/>
      <w:bCs/>
      <w:i/>
      <w:iCs/>
      <w:sz w:val="17"/>
      <w:szCs w:val="17"/>
    </w:rPr>
  </w:style>
  <w:style w:type="paragraph" w:styleId="Style30">
    <w:name w:val="Footer"/>
    <w:basedOn w:val="Normal"/>
    <w:link w:val="ab"/>
    <w:uiPriority w:val="99"/>
    <w:unhideWhenUsed/>
    <w:rsid w:val="00b17c5d"/>
    <w:pPr>
      <w:tabs>
        <w:tab w:val="clear" w:pos="720"/>
        <w:tab w:val="center" w:pos="4677" w:leader="none"/>
        <w:tab w:val="right" w:pos="9355" w:leader="none"/>
      </w:tabs>
    </w:pPr>
    <w:rPr/>
  </w:style>
  <w:style w:type="paragraph" w:styleId="Style31">
    <w:name w:val="Header"/>
    <w:basedOn w:val="Normal"/>
    <w:link w:val="ad"/>
    <w:uiPriority w:val="99"/>
    <w:unhideWhenUsed/>
    <w:rsid w:val="00b17c5d"/>
    <w:pPr>
      <w:tabs>
        <w:tab w:val="clear" w:pos="720"/>
        <w:tab w:val="center" w:pos="4677" w:leader="none"/>
        <w:tab w:val="right" w:pos="9355" w:leader="none"/>
      </w:tabs>
    </w:pPr>
    <w:rPr/>
  </w:style>
  <w:style w:type="paragraph" w:styleId="BalloonText">
    <w:name w:val="Balloon Text"/>
    <w:basedOn w:val="Normal"/>
    <w:link w:val="af"/>
    <w:uiPriority w:val="99"/>
    <w:semiHidden/>
    <w:unhideWhenUsed/>
    <w:qFormat/>
    <w:rsid w:val="00b17c5d"/>
    <w:pPr/>
    <w:rPr>
      <w:rFonts w:ascii="Tahoma" w:hAnsi="Tahoma" w:cs="Tahoma"/>
      <w:sz w:val="16"/>
      <w:szCs w:val="16"/>
    </w:rPr>
  </w:style>
  <w:style w:type="paragraph" w:styleId="ListParagraph">
    <w:name w:val="List Paragraph"/>
    <w:basedOn w:val="Normal"/>
    <w:uiPriority w:val="34"/>
    <w:qFormat/>
    <w:rsid w:val="00ac4754"/>
    <w:pPr>
      <w:spacing w:before="0" w:after="0"/>
      <w:ind w:left="720" w:hanging="0"/>
      <w:contextualSpacing/>
    </w:pPr>
    <w:rPr/>
  </w:style>
  <w:style w:type="paragraph" w:styleId="StyleHeading1Univers45LightBefore0pt" w:customStyle="1">
    <w:name w:val="Style Heading 1 + Univers 45 Light Before:  0 pt"/>
    <w:basedOn w:val="1"/>
    <w:qFormat/>
    <w:rsid w:val="0071078b"/>
    <w:pPr>
      <w:tabs>
        <w:tab w:val="clear" w:pos="720"/>
        <w:tab w:val="left" w:pos="562" w:leader="none"/>
        <w:tab w:val="left" w:pos="964" w:leader="none"/>
      </w:tabs>
      <w:spacing w:before="0" w:after="240"/>
      <w:ind w:left="964" w:hanging="964"/>
    </w:pPr>
    <w:rPr>
      <w:rFonts w:ascii="Univers 45 Light" w:hAnsi="Univers 45 Light" w:eastAsia="Times New Roman" w:cs="Times New Roman"/>
      <w:kern w:val="2"/>
      <w:sz w:val="20"/>
      <w:szCs w:val="20"/>
      <w:lang w:val="en-GB" w:eastAsia="en-US" w:bidi="ar-SA"/>
    </w:rPr>
  </w:style>
  <w:style w:type="paragraph" w:styleId="TimesNewRoman" w:customStyle="1">
    <w:name w:val="Обычный + Times New Roman"/>
    <w:basedOn w:val="Normal"/>
    <w:qFormat/>
    <w:rsid w:val="00af040f"/>
    <w:pPr>
      <w:ind w:firstLine="567"/>
      <w:jc w:val="center"/>
    </w:pPr>
    <w:rPr>
      <w:rFonts w:ascii="Times New Roman" w:hAnsi="Times New Roman" w:eastAsia="Times New Roman"/>
      <w:sz w:val="22"/>
      <w:szCs w:val="22"/>
      <w:lang w:bidi="ar-SA"/>
    </w:rPr>
  </w:style>
  <w:style w:type="paragraph" w:styleId="215">
    <w:name w:val="TOC 2"/>
    <w:basedOn w:val="Normal"/>
    <w:next w:val="Normal"/>
    <w:autoRedefine/>
    <w:uiPriority w:val="39"/>
    <w:unhideWhenUsed/>
    <w:rsid w:val="000e3c0f"/>
    <w:pPr>
      <w:spacing w:before="240" w:after="0"/>
    </w:pPr>
    <w:rPr>
      <w:rFonts w:cs="Calibri" w:cstheme="minorHAnsi"/>
      <w:b/>
      <w:bCs/>
      <w:sz w:val="20"/>
      <w:szCs w:val="20"/>
    </w:rPr>
  </w:style>
  <w:style w:type="paragraph" w:styleId="114">
    <w:name w:val="TOC 1"/>
    <w:basedOn w:val="Normal"/>
    <w:next w:val="Normal"/>
    <w:autoRedefine/>
    <w:uiPriority w:val="39"/>
    <w:unhideWhenUsed/>
    <w:rsid w:val="000e3c0f"/>
    <w:pPr>
      <w:spacing w:before="360" w:after="0"/>
    </w:pPr>
    <w:rPr>
      <w:rFonts w:ascii="Calibri Light" w:hAnsi="Calibri Light" w:cs="Calibri Light" w:asciiTheme="majorHAnsi" w:cstheme="majorHAnsi" w:hAnsiTheme="majorHAnsi"/>
      <w:b/>
      <w:bCs/>
      <w:caps/>
    </w:rPr>
  </w:style>
  <w:style w:type="paragraph" w:styleId="TOCHeading">
    <w:name w:val="TOC Heading"/>
    <w:basedOn w:val="1"/>
    <w:next w:val="Normal"/>
    <w:uiPriority w:val="39"/>
    <w:unhideWhenUsed/>
    <w:qFormat/>
    <w:rsid w:val="00ac4754"/>
    <w:pPr/>
    <w:rPr/>
  </w:style>
  <w:style w:type="paragraph" w:styleId="47">
    <w:name w:val="TOC 4"/>
    <w:basedOn w:val="Normal"/>
    <w:next w:val="Normal"/>
    <w:autoRedefine/>
    <w:uiPriority w:val="39"/>
    <w:unhideWhenUsed/>
    <w:rsid w:val="00bf5caf"/>
    <w:pPr>
      <w:ind w:left="480" w:hanging="0"/>
    </w:pPr>
    <w:rPr>
      <w:rFonts w:cs="Calibri" w:cstheme="minorHAnsi"/>
      <w:sz w:val="20"/>
      <w:szCs w:val="20"/>
    </w:rPr>
  </w:style>
  <w:style w:type="paragraph" w:styleId="57">
    <w:name w:val="TOC 5"/>
    <w:basedOn w:val="Normal"/>
    <w:next w:val="Normal"/>
    <w:autoRedefine/>
    <w:uiPriority w:val="39"/>
    <w:unhideWhenUsed/>
    <w:rsid w:val="00bf5caf"/>
    <w:pPr>
      <w:ind w:left="720" w:hanging="0"/>
    </w:pPr>
    <w:rPr>
      <w:rFonts w:cs="Calibri" w:cstheme="minorHAnsi"/>
      <w:sz w:val="20"/>
      <w:szCs w:val="20"/>
    </w:rPr>
  </w:style>
  <w:style w:type="paragraph" w:styleId="64">
    <w:name w:val="TOC 6"/>
    <w:basedOn w:val="Normal"/>
    <w:next w:val="Normal"/>
    <w:autoRedefine/>
    <w:uiPriority w:val="39"/>
    <w:unhideWhenUsed/>
    <w:rsid w:val="00bf5caf"/>
    <w:pPr>
      <w:ind w:left="960" w:hanging="0"/>
    </w:pPr>
    <w:rPr>
      <w:rFonts w:cs="Calibri" w:cstheme="minorHAnsi"/>
      <w:sz w:val="20"/>
      <w:szCs w:val="20"/>
    </w:rPr>
  </w:style>
  <w:style w:type="paragraph" w:styleId="74">
    <w:name w:val="TOC 7"/>
    <w:basedOn w:val="Normal"/>
    <w:next w:val="Normal"/>
    <w:autoRedefine/>
    <w:uiPriority w:val="39"/>
    <w:unhideWhenUsed/>
    <w:rsid w:val="00bf5caf"/>
    <w:pPr>
      <w:ind w:left="1200" w:hanging="0"/>
    </w:pPr>
    <w:rPr>
      <w:rFonts w:cs="Calibri" w:cstheme="minorHAnsi"/>
      <w:sz w:val="20"/>
      <w:szCs w:val="20"/>
    </w:rPr>
  </w:style>
  <w:style w:type="paragraph" w:styleId="84">
    <w:name w:val="TOC 8"/>
    <w:basedOn w:val="Normal"/>
    <w:next w:val="Normal"/>
    <w:autoRedefine/>
    <w:uiPriority w:val="39"/>
    <w:unhideWhenUsed/>
    <w:rsid w:val="00bf5caf"/>
    <w:pPr>
      <w:ind w:left="1440" w:hanging="0"/>
    </w:pPr>
    <w:rPr>
      <w:rFonts w:cs="Calibri" w:cstheme="minorHAnsi"/>
      <w:sz w:val="20"/>
      <w:szCs w:val="20"/>
    </w:rPr>
  </w:style>
  <w:style w:type="paragraph" w:styleId="94">
    <w:name w:val="TOC 9"/>
    <w:basedOn w:val="Normal"/>
    <w:next w:val="Normal"/>
    <w:autoRedefine/>
    <w:uiPriority w:val="39"/>
    <w:unhideWhenUsed/>
    <w:rsid w:val="00bf5caf"/>
    <w:pPr>
      <w:ind w:left="1680" w:hanging="0"/>
    </w:pPr>
    <w:rPr>
      <w:rFonts w:cs="Calibri" w:cstheme="minorHAnsi"/>
      <w:sz w:val="20"/>
      <w:szCs w:val="20"/>
    </w:rPr>
  </w:style>
  <w:style w:type="paragraph" w:styleId="Style32">
    <w:name w:val="Title"/>
    <w:basedOn w:val="Normal"/>
    <w:next w:val="Normal"/>
    <w:link w:val="af4"/>
    <w:uiPriority w:val="10"/>
    <w:qFormat/>
    <w:rsid w:val="00ac4754"/>
    <w:pPr>
      <w:spacing w:before="240" w:after="60"/>
      <w:jc w:val="center"/>
      <w:outlineLvl w:val="0"/>
    </w:pPr>
    <w:rPr>
      <w:rFonts w:ascii="Calibri Light" w:hAnsi="Calibri Light" w:eastAsia="" w:asciiTheme="majorHAnsi" w:eastAsiaTheme="majorEastAsia" w:hAnsiTheme="majorHAnsi"/>
      <w:b/>
      <w:bCs/>
      <w:kern w:val="2"/>
      <w:sz w:val="32"/>
      <w:szCs w:val="32"/>
    </w:rPr>
  </w:style>
  <w:style w:type="paragraph" w:styleId="Style33">
    <w:name w:val="Subtitle"/>
    <w:basedOn w:val="Normal"/>
    <w:next w:val="Normal"/>
    <w:link w:val="af6"/>
    <w:uiPriority w:val="11"/>
    <w:qFormat/>
    <w:rsid w:val="00ac4754"/>
    <w:pPr>
      <w:spacing w:before="0" w:after="60"/>
      <w:jc w:val="center"/>
      <w:outlineLvl w:val="1"/>
    </w:pPr>
    <w:rPr>
      <w:rFonts w:ascii="Calibri Light" w:hAnsi="Calibri Light" w:eastAsia="" w:asciiTheme="majorHAnsi" w:eastAsiaTheme="majorEastAsia" w:hAnsiTheme="majorHAnsi"/>
    </w:rPr>
  </w:style>
  <w:style w:type="paragraph" w:styleId="NoSpacing">
    <w:name w:val="No Spacing"/>
    <w:basedOn w:val="Normal"/>
    <w:uiPriority w:val="1"/>
    <w:qFormat/>
    <w:rsid w:val="00ac4754"/>
    <w:pPr/>
    <w:rPr>
      <w:szCs w:val="32"/>
    </w:rPr>
  </w:style>
  <w:style w:type="paragraph" w:styleId="Quote">
    <w:name w:val="Quote"/>
    <w:basedOn w:val="Normal"/>
    <w:next w:val="Normal"/>
    <w:link w:val="2d"/>
    <w:uiPriority w:val="29"/>
    <w:qFormat/>
    <w:rsid w:val="00ac4754"/>
    <w:pPr/>
    <w:rPr>
      <w:i/>
    </w:rPr>
  </w:style>
  <w:style w:type="paragraph" w:styleId="IntenseQuote">
    <w:name w:val="Intense Quote"/>
    <w:basedOn w:val="Normal"/>
    <w:next w:val="Normal"/>
    <w:link w:val="afb"/>
    <w:uiPriority w:val="30"/>
    <w:qFormat/>
    <w:rsid w:val="00ac4754"/>
    <w:pPr>
      <w:ind w:left="720" w:right="720" w:hanging="0"/>
    </w:pPr>
    <w:rPr>
      <w:b/>
      <w:i/>
      <w:szCs w:val="22"/>
    </w:rPr>
  </w:style>
  <w:style w:type="paragraph" w:styleId="Style34">
    <w:name w:val="Footnote Text"/>
    <w:basedOn w:val="Normal"/>
    <w:link w:val="aff2"/>
    <w:uiPriority w:val="99"/>
    <w:semiHidden/>
    <w:unhideWhenUsed/>
    <w:rsid w:val="002e39b3"/>
    <w:pPr/>
    <w:rPr>
      <w:sz w:val="20"/>
      <w:szCs w:val="20"/>
    </w:rPr>
  </w:style>
  <w:style w:type="paragraph" w:styleId="Annotationtext">
    <w:name w:val="annotation text"/>
    <w:basedOn w:val="Normal"/>
    <w:link w:val="aff6"/>
    <w:unhideWhenUsed/>
    <w:qFormat/>
    <w:rsid w:val="00b124c6"/>
    <w:pPr/>
    <w:rPr>
      <w:sz w:val="20"/>
      <w:szCs w:val="20"/>
    </w:rPr>
  </w:style>
  <w:style w:type="paragraph" w:styleId="Annotationsubject">
    <w:name w:val="annotation subject"/>
    <w:basedOn w:val="Annotationtext"/>
    <w:next w:val="Annotationtext"/>
    <w:link w:val="aff8"/>
    <w:uiPriority w:val="99"/>
    <w:semiHidden/>
    <w:unhideWhenUsed/>
    <w:qFormat/>
    <w:rsid w:val="00b124c6"/>
    <w:pPr/>
    <w:rPr>
      <w:b/>
      <w:bCs/>
    </w:rPr>
  </w:style>
  <w:style w:type="paragraph" w:styleId="Revision">
    <w:name w:val="Revision"/>
    <w:uiPriority w:val="99"/>
    <w:semiHidden/>
    <w:qFormat/>
    <w:rsid w:val="00560547"/>
    <w:pPr>
      <w:widowControl/>
      <w:bidi w:val="0"/>
      <w:jc w:val="left"/>
    </w:pPr>
    <w:rPr>
      <w:rFonts w:ascii="Calibri" w:hAnsi="Calibri" w:eastAsia="" w:cs="Times New Roman" w:asciiTheme="minorHAnsi" w:eastAsiaTheme="minorEastAsia" w:hAnsiTheme="minorHAnsi"/>
      <w:color w:val="auto"/>
      <w:kern w:val="0"/>
      <w:sz w:val="24"/>
      <w:szCs w:val="24"/>
      <w:lang w:val="ru-RU" w:eastAsia="ru-RU" w:bidi="ru-RU"/>
    </w:rPr>
  </w:style>
  <w:style w:type="paragraph" w:styleId="Msonormalmailrucssattributepostfix" w:customStyle="1">
    <w:name w:val="msonormal_mailru_css_attribute_postfix"/>
    <w:basedOn w:val="Normal"/>
    <w:qFormat/>
    <w:rsid w:val="00f96265"/>
    <w:pPr>
      <w:spacing w:beforeAutospacing="1" w:afterAutospacing="1"/>
    </w:pPr>
    <w:rPr>
      <w:rFonts w:ascii="Times New Roman" w:hAnsi="Times New Roman" w:eastAsia="Calibri" w:eastAsiaTheme="minorHAnsi"/>
      <w:lang w:bidi="ar-SA"/>
    </w:rPr>
  </w:style>
  <w:style w:type="paragraph" w:styleId="48" w:customStyle="1">
    <w:name w:val="Стиль4"/>
    <w:basedOn w:val="Normal"/>
    <w:link w:val="47"/>
    <w:qFormat/>
    <w:rsid w:val="00654e58"/>
    <w:pPr>
      <w:overflowPunct w:val="true"/>
      <w:spacing w:before="120" w:after="120"/>
      <w:ind w:left="567" w:right="142" w:hanging="567"/>
      <w:jc w:val="both"/>
      <w:textAlignment w:val="baseline"/>
    </w:pPr>
    <w:rPr>
      <w:rFonts w:ascii="Arial" w:hAnsi="Arial" w:eastAsia="Times New Roman"/>
      <w:b/>
      <w:bCs/>
      <w:i/>
      <w:iCs/>
      <w:color w:val="000080"/>
      <w:sz w:val="22"/>
      <w:szCs w:val="20"/>
      <w:lang w:val="en-US" w:eastAsia="en-US" w:bidi="ar-SA"/>
    </w:rPr>
  </w:style>
  <w:style w:type="paragraph" w:styleId="SubHeading2" w:customStyle="1">
    <w:name w:val="Sub Heading 2"/>
    <w:qFormat/>
    <w:rsid w:val="00103830"/>
    <w:pPr>
      <w:widowControl w:val="false"/>
      <w:suppressAutoHyphens w:val="true"/>
      <w:bidi w:val="0"/>
      <w:spacing w:before="160" w:after="40"/>
      <w:jc w:val="left"/>
    </w:pPr>
    <w:rPr>
      <w:rFonts w:ascii="Times New Roman" w:hAnsi="Times New Roman" w:eastAsia="Arial" w:cs="Times New Roman"/>
      <w:color w:val="auto"/>
      <w:kern w:val="0"/>
      <w:sz w:val="24"/>
      <w:szCs w:val="22"/>
      <w:lang w:eastAsia="zh-CN" w:bidi="ar-SA" w:val="ru-RU"/>
    </w:rPr>
  </w:style>
  <w:style w:type="paragraph" w:styleId="ABCparagrahinNotes" w:customStyle="1">
    <w:name w:val="ABC - paragrah in Notes"/>
    <w:link w:val="ABC-paragrahinNotesChar1"/>
    <w:qFormat/>
    <w:rsid w:val="000524dd"/>
    <w:pPr>
      <w:widowControl/>
      <w:bidi w:val="0"/>
      <w:spacing w:before="0" w:after="240"/>
      <w:jc w:val="both"/>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0">
    <w:name w:val="Table Grid"/>
    <w:basedOn w:val="a1"/>
    <w:uiPriority w:val="59"/>
    <w:rsid w:val="00f32362"/>
    <w:rPr>
      <w:lang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e">
    <w:name w:val="Сетка таблицы1"/>
    <w:basedOn w:val="a1"/>
    <w:uiPriority w:val="59"/>
    <w:rsid w:val="00c57e8c"/>
    <w:rPr>
      <w:lang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header" Target="header4.xml"/><Relationship Id="rId9" Type="http://schemas.openxmlformats.org/officeDocument/2006/relationships/footer" Target="footer4.xml"/><Relationship Id="rId10" Type="http://schemas.openxmlformats.org/officeDocument/2006/relationships/header" Target="header5.xml"/><Relationship Id="rId11" Type="http://schemas.openxmlformats.org/officeDocument/2006/relationships/footer" Target="footer5.xml"/><Relationship Id="rId12" Type="http://schemas.openxmlformats.org/officeDocument/2006/relationships/header" Target="header6.xml"/><Relationship Id="rId13" Type="http://schemas.openxmlformats.org/officeDocument/2006/relationships/footer" Target="footer6.xml"/><Relationship Id="rId14" Type="http://schemas.openxmlformats.org/officeDocument/2006/relationships/header" Target="header7.xml"/><Relationship Id="rId15" Type="http://schemas.openxmlformats.org/officeDocument/2006/relationships/footer" Target="foot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footer" Target="footer8.xml"/><Relationship Id="rId19" Type="http://schemas.openxmlformats.org/officeDocument/2006/relationships/footer" Target="footer9.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DBCBE-5355-48AF-97CC-DB25480D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2926</TotalTime>
  <Application>LibreOffice/6.1.4.2$Windows_x86 LibreOffice_project/9d0f32d1f0b509096fd65e0d4bec26ddd1938fd3</Application>
  <Pages>45</Pages>
  <Words>11356</Words>
  <Characters>71198</Characters>
  <CharactersWithSpaces>84710</CharactersWithSpaces>
  <Paragraphs>1921</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2018-04-26T10:14:00Z</dcterms:created>
  <dc:creator>Волегжанин Роман</dc:creator>
  <dc:description/>
  <dc:language>ru-RU</dc:language>
  <cp:lastModifiedBy/>
  <cp:lastPrinted>2018-04-26T07:58:00Z</cp:lastPrinted>
  <dcterms:modified xsi:type="dcterms:W3CDTF">2019-04-30T11:03:07Z</dcterms:modified>
  <cp:revision>94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